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4F32" w14:textId="49371F1C" w:rsidR="00AC3094" w:rsidRDefault="00131517" w:rsidP="00AC3094">
      <w:pPr>
        <w:rPr>
          <w:b/>
          <w:bCs/>
        </w:rPr>
      </w:pPr>
      <w:r>
        <w:rPr>
          <w:b/>
          <w:bCs/>
        </w:rPr>
        <w:t>2</w:t>
      </w:r>
      <w:r w:rsidR="00AC3094" w:rsidRPr="007007E1">
        <w:rPr>
          <w:b/>
          <w:bCs/>
        </w:rPr>
        <w:t>202</w:t>
      </w:r>
      <w:r w:rsidR="00CD3A11">
        <w:rPr>
          <w:b/>
          <w:bCs/>
        </w:rPr>
        <w:t>3</w:t>
      </w:r>
      <w:r w:rsidR="00AC3094" w:rsidRPr="007007E1">
        <w:rPr>
          <w:b/>
          <w:bCs/>
        </w:rPr>
        <w:t>/2</w:t>
      </w:r>
      <w:r w:rsidR="00CD3A11">
        <w:rPr>
          <w:b/>
          <w:bCs/>
        </w:rPr>
        <w:t>4</w:t>
      </w:r>
      <w:r w:rsidR="00AC3094" w:rsidRPr="007007E1">
        <w:rPr>
          <w:b/>
          <w:bCs/>
        </w:rPr>
        <w:t xml:space="preserve"> Internal Audit Plan</w:t>
      </w:r>
      <w:r w:rsidR="00AC3094">
        <w:rPr>
          <w:b/>
          <w:bCs/>
        </w:rPr>
        <w:t xml:space="preserve"> - </w:t>
      </w:r>
      <w:r w:rsidR="00AC3094" w:rsidRPr="007007E1">
        <w:rPr>
          <w:b/>
          <w:bCs/>
        </w:rPr>
        <w:t>Consultation</w:t>
      </w:r>
    </w:p>
    <w:p w14:paraId="16A609BB" w14:textId="77777777" w:rsidR="00AC3094" w:rsidRDefault="00AC3094" w:rsidP="00AC3094">
      <w:pPr>
        <w:rPr>
          <w:b/>
          <w:bCs/>
        </w:rPr>
      </w:pPr>
    </w:p>
    <w:p w14:paraId="7AD0193B" w14:textId="77777777" w:rsidR="00AC3094" w:rsidRDefault="00AC3094" w:rsidP="00AC3094">
      <w:pPr>
        <w:rPr>
          <w:b/>
          <w:bCs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268"/>
        <w:gridCol w:w="3539"/>
        <w:gridCol w:w="6100"/>
        <w:gridCol w:w="1413"/>
      </w:tblGrid>
      <w:tr w:rsidR="00AC3094" w14:paraId="221F28CB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91DE" w14:textId="77777777" w:rsidR="00AC3094" w:rsidRDefault="00AC3094" w:rsidP="008C7644">
            <w:pPr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  <w:p w14:paraId="1C64E585" w14:textId="301BB0C7" w:rsidR="00163272" w:rsidRDefault="00163272" w:rsidP="008C7644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C5E72C" w14:textId="77777777" w:rsidR="00AC3094" w:rsidRDefault="00AC3094" w:rsidP="008C76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7442643D" w14:textId="77777777" w:rsidR="00AC3094" w:rsidRDefault="00AC3094" w:rsidP="008C764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20C6F86" w14:textId="37EC8C34" w:rsidR="008C7644" w:rsidRDefault="008C7644" w:rsidP="008C7644">
            <w:pPr>
              <w:rPr>
                <w:b/>
                <w:bCs/>
              </w:rPr>
            </w:pPr>
          </w:p>
        </w:tc>
      </w:tr>
      <w:tr w:rsidR="00AC3094" w14:paraId="61FD0A02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CC7AB" w14:textId="77777777" w:rsidR="00AC3094" w:rsidRDefault="00AC3094" w:rsidP="008C7644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834AF62" w14:textId="0C1A41E6" w:rsidR="00AC3094" w:rsidRPr="008C7644" w:rsidRDefault="003857A1" w:rsidP="008C7644">
            <w:r>
              <w:t>Alex Dewsnap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E6B412C" w14:textId="7AD2199B" w:rsidR="00C83BF0" w:rsidRDefault="003857A1" w:rsidP="008C7644">
            <w:r>
              <w:t>Managing Director</w:t>
            </w:r>
          </w:p>
          <w:p w14:paraId="68390848" w14:textId="000E636F" w:rsidR="008C7644" w:rsidRPr="008C7644" w:rsidRDefault="008C7644" w:rsidP="008C7644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EFFAF82" w14:textId="62B144E5" w:rsidR="00AC3094" w:rsidRPr="00E97CB4" w:rsidRDefault="00AC3094" w:rsidP="00E97CB4"/>
        </w:tc>
      </w:tr>
      <w:tr w:rsidR="00CD3A11" w14:paraId="786DAD5C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89361" w14:textId="77777777" w:rsidR="00C83BF0" w:rsidRDefault="00C83BF0" w:rsidP="00CD3A11">
            <w:pPr>
              <w:rPr>
                <w:b/>
                <w:bCs/>
              </w:rPr>
            </w:pPr>
          </w:p>
          <w:p w14:paraId="7D38A812" w14:textId="77777777" w:rsidR="00C83BF0" w:rsidRDefault="00C83BF0" w:rsidP="00CD3A11">
            <w:pPr>
              <w:rPr>
                <w:b/>
                <w:bCs/>
              </w:rPr>
            </w:pPr>
          </w:p>
          <w:p w14:paraId="01FDBE1A" w14:textId="77777777" w:rsidR="00C83BF0" w:rsidRDefault="00C83BF0" w:rsidP="00CD3A11">
            <w:pPr>
              <w:rPr>
                <w:b/>
                <w:bCs/>
              </w:rPr>
            </w:pPr>
          </w:p>
          <w:p w14:paraId="108F1B29" w14:textId="696AE71C" w:rsidR="00C83BF0" w:rsidRDefault="00C83BF0" w:rsidP="00CD3A11">
            <w:pPr>
              <w:rPr>
                <w:b/>
                <w:bCs/>
              </w:rPr>
            </w:pPr>
          </w:p>
          <w:p w14:paraId="4530FECE" w14:textId="77777777" w:rsidR="001033BD" w:rsidRDefault="001033BD" w:rsidP="00CD3A11">
            <w:pPr>
              <w:rPr>
                <w:b/>
                <w:bCs/>
              </w:rPr>
            </w:pPr>
          </w:p>
          <w:p w14:paraId="7FCE01A1" w14:textId="77777777" w:rsidR="00163272" w:rsidRDefault="00163272" w:rsidP="00CD3A11">
            <w:pPr>
              <w:rPr>
                <w:b/>
                <w:bCs/>
              </w:rPr>
            </w:pPr>
          </w:p>
          <w:p w14:paraId="2B0D67F6" w14:textId="77777777" w:rsidR="00163272" w:rsidRDefault="00163272" w:rsidP="00CD3A11">
            <w:pPr>
              <w:rPr>
                <w:b/>
                <w:bCs/>
              </w:rPr>
            </w:pPr>
          </w:p>
          <w:p w14:paraId="65052948" w14:textId="77777777" w:rsidR="00163272" w:rsidRDefault="00163272" w:rsidP="00CD3A11">
            <w:pPr>
              <w:rPr>
                <w:b/>
                <w:bCs/>
              </w:rPr>
            </w:pPr>
          </w:p>
          <w:p w14:paraId="3118D916" w14:textId="77777777" w:rsidR="00163272" w:rsidRDefault="00163272" w:rsidP="00CD3A11">
            <w:pPr>
              <w:rPr>
                <w:b/>
                <w:bCs/>
              </w:rPr>
            </w:pPr>
          </w:p>
          <w:p w14:paraId="21EEE72A" w14:textId="77777777" w:rsidR="00163272" w:rsidRDefault="00163272" w:rsidP="00CD3A11">
            <w:pPr>
              <w:rPr>
                <w:b/>
                <w:bCs/>
              </w:rPr>
            </w:pPr>
          </w:p>
          <w:p w14:paraId="2362A622" w14:textId="77777777" w:rsidR="00163272" w:rsidRDefault="00163272" w:rsidP="00CD3A11">
            <w:pPr>
              <w:rPr>
                <w:b/>
                <w:bCs/>
              </w:rPr>
            </w:pPr>
          </w:p>
          <w:p w14:paraId="0BF8897E" w14:textId="77777777" w:rsidR="00163272" w:rsidRDefault="00163272" w:rsidP="00CD3A11">
            <w:pPr>
              <w:rPr>
                <w:b/>
                <w:bCs/>
              </w:rPr>
            </w:pPr>
          </w:p>
          <w:p w14:paraId="4375CB43" w14:textId="16F740C8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380F454" w14:textId="54A9DFFF" w:rsidR="00163272" w:rsidRDefault="001033BD" w:rsidP="00CD3A11">
            <w:r>
              <w:t>Sharon Daniels</w:t>
            </w:r>
          </w:p>
          <w:p w14:paraId="6A3C1A27" w14:textId="350C7B19" w:rsidR="00163272" w:rsidRDefault="001033BD" w:rsidP="00CD3A11">
            <w:r>
              <w:t>Jessica Farmer</w:t>
            </w:r>
          </w:p>
          <w:p w14:paraId="66A32704" w14:textId="77777777" w:rsidR="00163272" w:rsidRDefault="00163272" w:rsidP="00CD3A11"/>
          <w:p w14:paraId="767BB9DB" w14:textId="77777777" w:rsidR="001033BD" w:rsidRDefault="001033BD" w:rsidP="00CD3A11"/>
          <w:p w14:paraId="1405117C" w14:textId="03ABF251" w:rsidR="00163272" w:rsidRDefault="00163272" w:rsidP="00CD3A11">
            <w:r>
              <w:t>Fern Silverio</w:t>
            </w:r>
          </w:p>
          <w:p w14:paraId="41E5C2A0" w14:textId="2AD1F7F9" w:rsidR="00163272" w:rsidRDefault="00163272" w:rsidP="00CD3A11">
            <w:r>
              <w:t>Nimesh Mehta</w:t>
            </w:r>
          </w:p>
          <w:p w14:paraId="672819DF" w14:textId="198BC99A" w:rsidR="00866248" w:rsidRDefault="00866248" w:rsidP="00CD3A11">
            <w:r>
              <w:t>Sharon Daniels</w:t>
            </w:r>
          </w:p>
          <w:p w14:paraId="7C69637C" w14:textId="49373CE6" w:rsidR="00163272" w:rsidRDefault="00163272" w:rsidP="00CD3A11">
            <w:r>
              <w:t>Tasleem Kazmi</w:t>
            </w:r>
          </w:p>
          <w:p w14:paraId="68188C1E" w14:textId="01B874D8" w:rsidR="003857A1" w:rsidRDefault="003857A1" w:rsidP="003857A1">
            <w:r>
              <w:t>Donna Edwards</w:t>
            </w:r>
            <w:r>
              <w:tab/>
            </w:r>
          </w:p>
          <w:p w14:paraId="10C43AA9" w14:textId="1F8C3A7A" w:rsidR="003857A1" w:rsidRDefault="003857A1" w:rsidP="003857A1">
            <w:r>
              <w:t>Jessie Mann</w:t>
            </w:r>
            <w:r>
              <w:tab/>
            </w:r>
          </w:p>
          <w:p w14:paraId="530B1E1D" w14:textId="5AB4EB38" w:rsidR="003857A1" w:rsidRDefault="003857A1" w:rsidP="003857A1">
            <w:r>
              <w:t>Jo Frost</w:t>
            </w:r>
            <w:r>
              <w:tab/>
            </w:r>
          </w:p>
          <w:p w14:paraId="6C8F2BA1" w14:textId="2E71A7DE" w:rsidR="003857A1" w:rsidRDefault="003857A1" w:rsidP="003857A1">
            <w:r>
              <w:t>Justin Phillips</w:t>
            </w:r>
            <w:r>
              <w:tab/>
            </w:r>
          </w:p>
          <w:p w14:paraId="4B89AB4F" w14:textId="4053109C" w:rsidR="003857A1" w:rsidRDefault="003857A1" w:rsidP="003857A1">
            <w:r>
              <w:t>Neale Burns</w:t>
            </w:r>
            <w:r>
              <w:tab/>
            </w:r>
          </w:p>
          <w:p w14:paraId="7B7DDE39" w14:textId="56C59113" w:rsidR="003857A1" w:rsidRDefault="003857A1" w:rsidP="003857A1">
            <w:r>
              <w:t>Internal Audit Team</w:t>
            </w:r>
            <w:r>
              <w:tab/>
            </w:r>
          </w:p>
          <w:p w14:paraId="51167273" w14:textId="411F9EEB" w:rsidR="00C83BF0" w:rsidRDefault="003857A1" w:rsidP="00CD3A11">
            <w:r>
              <w:t xml:space="preserve">Corporate Anti-Fraud Team </w:t>
            </w:r>
          </w:p>
          <w:p w14:paraId="1903AFB2" w14:textId="0338E733" w:rsidR="00CD3A11" w:rsidRPr="007007E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57C4EF9A" w14:textId="728C4D3F" w:rsidR="00C83BF0" w:rsidRDefault="00866248" w:rsidP="00CD3A11">
            <w:r>
              <w:t>Acting</w:t>
            </w:r>
            <w:r w:rsidR="62B91A60">
              <w:t xml:space="preserve"> </w:t>
            </w:r>
            <w:r w:rsidR="00C83BF0">
              <w:t>Director of Finance &amp; Assurance/S151</w:t>
            </w:r>
          </w:p>
          <w:p w14:paraId="20A6510B" w14:textId="376C1A3C" w:rsidR="00C83BF0" w:rsidRDefault="00866248" w:rsidP="00CD3A11">
            <w:r>
              <w:t>Acting</w:t>
            </w:r>
            <w:r w:rsidR="00C83BF0">
              <w:t xml:space="preserve"> Director of Legal &amp; Governance (Monitoring Officer)</w:t>
            </w:r>
          </w:p>
          <w:p w14:paraId="0D6F32CB" w14:textId="77777777" w:rsidR="00C83BF0" w:rsidRDefault="00C83BF0" w:rsidP="00CD3A11"/>
          <w:p w14:paraId="40E4B030" w14:textId="16BF392E" w:rsidR="00163272" w:rsidRDefault="00163272" w:rsidP="00CD3A11">
            <w:r>
              <w:t>Divisional Director Collections &amp; Benefits</w:t>
            </w:r>
          </w:p>
          <w:p w14:paraId="04E9FFAF" w14:textId="0273F9B8" w:rsidR="00163272" w:rsidRDefault="00163272" w:rsidP="00CD3A11">
            <w:r>
              <w:t>Head of Procurement</w:t>
            </w:r>
          </w:p>
          <w:p w14:paraId="1D71337E" w14:textId="0D0F4AD5" w:rsidR="00163272" w:rsidRDefault="00163272" w:rsidP="00CD3A11">
            <w:r w:rsidRPr="00163272">
              <w:t>Head of Strat</w:t>
            </w:r>
            <w:r w:rsidR="00866248">
              <w:t>egy</w:t>
            </w:r>
            <w:r w:rsidRPr="00163272">
              <w:t xml:space="preserve"> &amp; Tech</w:t>
            </w:r>
            <w:r w:rsidR="00866248">
              <w:t>nical</w:t>
            </w:r>
            <w:r w:rsidRPr="00163272">
              <w:t xml:space="preserve"> Finance/Deputy S151</w:t>
            </w:r>
          </w:p>
          <w:p w14:paraId="64916546" w14:textId="7289B7EB" w:rsidR="00163272" w:rsidRDefault="00163272" w:rsidP="00CD3A11">
            <w:r>
              <w:t>Finance Business Partner Housing &amp; Regeneration</w:t>
            </w:r>
          </w:p>
          <w:p w14:paraId="7354D06B" w14:textId="77777777" w:rsidR="003857A1" w:rsidRDefault="003857A1" w:rsidP="003857A1">
            <w:r>
              <w:t>Finance Business Partner People (Adults)</w:t>
            </w:r>
          </w:p>
          <w:p w14:paraId="40B9C37D" w14:textId="61AC2F4A" w:rsidR="00163272" w:rsidRDefault="003857A1" w:rsidP="00CD3A11">
            <w:r>
              <w:t>Finance Business Partner Community</w:t>
            </w:r>
          </w:p>
          <w:p w14:paraId="73A32B66" w14:textId="77777777" w:rsidR="003857A1" w:rsidRDefault="003857A1" w:rsidP="003857A1">
            <w:r>
              <w:t>Finance Business Partner People (Children)</w:t>
            </w:r>
          </w:p>
          <w:p w14:paraId="16374AB0" w14:textId="5941C896" w:rsidR="00163272" w:rsidRDefault="003857A1" w:rsidP="00CD3A11">
            <w:r>
              <w:t>Corporate Anti-Fraud Service Manager</w:t>
            </w:r>
          </w:p>
          <w:p w14:paraId="35CCA5CC" w14:textId="77777777" w:rsidR="003857A1" w:rsidRDefault="003857A1" w:rsidP="003857A1">
            <w:r>
              <w:t>Interim Risk Manager</w:t>
            </w:r>
          </w:p>
          <w:p w14:paraId="4036DDA5" w14:textId="745B656F" w:rsidR="00163272" w:rsidRDefault="003857A1" w:rsidP="00CD3A11">
            <w:r>
              <w:t>Auditors</w:t>
            </w:r>
          </w:p>
          <w:p w14:paraId="3D77F7C9" w14:textId="067E94D0" w:rsidR="003857A1" w:rsidRPr="007007E1" w:rsidRDefault="003857A1" w:rsidP="00CD3A11">
            <w:r>
              <w:t>Fraud Investigators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E69B5BB" w14:textId="66C35B23" w:rsidR="00CD3A11" w:rsidRPr="007007E1" w:rsidRDefault="00CD3A11" w:rsidP="00CD3A11"/>
        </w:tc>
      </w:tr>
      <w:tr w:rsidR="00CD3A11" w14:paraId="7333BCFE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087E0" w14:textId="45672705" w:rsidR="00CD3A11" w:rsidRDefault="003857A1" w:rsidP="00CD3A11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389741F" w14:textId="317B32E8" w:rsidR="00CD3A11" w:rsidRPr="007007E1" w:rsidRDefault="00163272" w:rsidP="00CD3A11">
            <w:r>
              <w:t>Ben Goward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B387146" w14:textId="6F3DAB81" w:rsidR="00CD3A11" w:rsidRPr="007007E1" w:rsidRDefault="00163272" w:rsidP="00CD3A11">
            <w:r>
              <w:t>Director of ICT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F5E641E" w14:textId="6F8C4A51" w:rsidR="00CD3A11" w:rsidRPr="007007E1" w:rsidRDefault="00CD3A11" w:rsidP="00CD3A11"/>
        </w:tc>
      </w:tr>
      <w:tr w:rsidR="00CD3A11" w14:paraId="3E8472B2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66445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BA1789D" w14:textId="7BB5BB71" w:rsidR="00CD3A11" w:rsidRDefault="00163272" w:rsidP="00CD3A11">
            <w:r>
              <w:t>Stacy Bailey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7C9D1F29" w14:textId="1BA36856" w:rsidR="00CD3A11" w:rsidRDefault="00163272" w:rsidP="00CD3A11">
            <w:r>
              <w:t>Director of HR &amp; OD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2C1591D" w14:textId="740C083F" w:rsidR="00CD3A11" w:rsidRDefault="00CD3A11" w:rsidP="00CD3A11"/>
        </w:tc>
      </w:tr>
      <w:tr w:rsidR="00CD3A11" w14:paraId="54BE1097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E33D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08A8D6D" w14:textId="1B73BEA5" w:rsidR="00CD3A11" w:rsidRDefault="00CD3A11" w:rsidP="00CD3A11">
            <w:r>
              <w:t>Shumailla Dar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E606897" w14:textId="390A5031" w:rsidR="00CD3A11" w:rsidRDefault="00CD3A11" w:rsidP="00CD3A11">
            <w:r w:rsidRPr="00CD3A11">
              <w:t xml:space="preserve">Interim Assistant Director Strategy and Partnerships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3992219" w14:textId="0CA55EC9" w:rsidR="00CD3A11" w:rsidRDefault="00CD3A11" w:rsidP="00CD3A11"/>
        </w:tc>
      </w:tr>
      <w:tr w:rsidR="00CD3A11" w14:paraId="5CD37FCF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6645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A5330BF" w14:textId="3569921D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481D466" w14:textId="6514EFBA" w:rsidR="00CD3A11" w:rsidRPr="007007E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3BE0BB1" w14:textId="3F320F46" w:rsidR="00CD3A11" w:rsidRDefault="00CD3A11" w:rsidP="00CD3A11"/>
        </w:tc>
      </w:tr>
      <w:tr w:rsidR="00CD3A11" w14:paraId="2A2C43E9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B0171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D30C57" w14:textId="1756E5AC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F8D3999" w14:textId="74A66EC0" w:rsidR="00CD3A11" w:rsidRPr="007007E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7E7942D" w14:textId="7E80CA7D" w:rsidR="00CD3A11" w:rsidRDefault="00CD3A11" w:rsidP="00CD3A11"/>
        </w:tc>
      </w:tr>
      <w:tr w:rsidR="00CD3A11" w14:paraId="219A49A6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61902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6A59FC" w14:textId="5BD5F56C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00B06EA" w14:textId="5EC06A69" w:rsidR="00CD3A11" w:rsidRPr="007007E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2152E34" w14:textId="45ACE938" w:rsidR="00CD3A11" w:rsidRDefault="00CD3A11" w:rsidP="00CD3A11"/>
        </w:tc>
      </w:tr>
      <w:tr w:rsidR="00CD3A11" w14:paraId="7EE9B174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82718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ED089A0" w14:textId="5C685D59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13CAB06" w14:textId="71707636" w:rsidR="00CD3A11" w:rsidRPr="007007E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F79CE3B" w14:textId="157BF5FE" w:rsidR="00CD3A11" w:rsidRDefault="00CD3A11" w:rsidP="00CD3A11"/>
        </w:tc>
      </w:tr>
      <w:tr w:rsidR="00CD3A11" w14:paraId="076755B4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8123A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EDFEF11" w14:textId="0859E425" w:rsidR="00CD3A11" w:rsidRPr="007007E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FE361A0" w14:textId="6BBB4A4C" w:rsidR="00CD3A11" w:rsidRPr="007007E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1251A1C" w14:textId="1E242408" w:rsidR="00CD3A11" w:rsidRPr="007007E1" w:rsidRDefault="00CD3A11" w:rsidP="00CD3A11"/>
        </w:tc>
      </w:tr>
      <w:tr w:rsidR="00CD3A11" w14:paraId="02A54383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2EBB5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999518D" w14:textId="7F1A9CBA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9DA5D0D" w14:textId="5FDB6766" w:rsidR="00CD3A11" w:rsidRPr="007007E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930727E" w14:textId="1645CE9B" w:rsidR="00CD3A11" w:rsidRPr="007007E1" w:rsidRDefault="00CD3A11" w:rsidP="00CD3A11"/>
        </w:tc>
      </w:tr>
      <w:tr w:rsidR="00CD3A11" w14:paraId="1B685775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BB61C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7260885" w14:textId="7FF4A0A2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921B792" w14:textId="278A4E90" w:rsidR="00CD3A1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D8C5366" w14:textId="30A0E552" w:rsidR="00CD3A11" w:rsidRPr="007007E1" w:rsidRDefault="00CD3A11" w:rsidP="00CD3A11"/>
        </w:tc>
      </w:tr>
      <w:tr w:rsidR="00CD3A11" w14:paraId="6222B7F1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FF075" w14:textId="77777777" w:rsidR="00CD3A11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BE880E2" w14:textId="77777777" w:rsidR="00CD3A11" w:rsidRDefault="00CD3A11" w:rsidP="00CD3A11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51A549C6" w14:textId="77777777" w:rsidR="00CD3A11" w:rsidRDefault="00CD3A11" w:rsidP="00CD3A1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D0C0B84" w14:textId="77777777" w:rsidR="00CD3A11" w:rsidRPr="007007E1" w:rsidRDefault="00CD3A11" w:rsidP="00CD3A11"/>
        </w:tc>
      </w:tr>
      <w:tr w:rsidR="00CD3A11" w14:paraId="5DEB86E6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79574" w14:textId="77777777" w:rsidR="00CD3A11" w:rsidRPr="00DE03AE" w:rsidRDefault="00CD3A11" w:rsidP="00CD3A11">
            <w:pPr>
              <w:rPr>
                <w:b/>
                <w:bCs/>
              </w:rPr>
            </w:pPr>
            <w:r w:rsidRPr="00DE03AE">
              <w:rPr>
                <w:b/>
                <w:bCs/>
              </w:rPr>
              <w:t>People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1337CBE" w14:textId="58A79143" w:rsidR="00CD3A11" w:rsidRDefault="00CD3A11" w:rsidP="00CD3A11">
            <w:r w:rsidRPr="00CD3A11">
              <w:t>Senel Arkut</w:t>
            </w:r>
          </w:p>
          <w:p w14:paraId="7D2D7B79" w14:textId="236DAA85" w:rsidR="00CD3A11" w:rsidRDefault="00CD3A11" w:rsidP="00CD3A11">
            <w:r w:rsidRPr="0091377B">
              <w:t>Peter Tolley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50FC1E3" w14:textId="77777777" w:rsidR="003857A1" w:rsidRDefault="00CD3A11" w:rsidP="00CD3A11">
            <w:r>
              <w:t>Corporate Director People</w:t>
            </w:r>
            <w:r w:rsidR="003857A1">
              <w:t xml:space="preserve"> </w:t>
            </w:r>
          </w:p>
          <w:p w14:paraId="54E6C638" w14:textId="288E00C6" w:rsidR="003857A1" w:rsidRDefault="003857A1" w:rsidP="003857A1">
            <w:r>
              <w:t>Divisional Director Children &amp; Young People Services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4F3686" w14:textId="0EACC212" w:rsidR="00CD3A11" w:rsidRPr="007007E1" w:rsidRDefault="00CD3A11" w:rsidP="00CD3A11"/>
        </w:tc>
      </w:tr>
      <w:tr w:rsidR="00CD3A11" w14:paraId="5D0F1E26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305B0" w14:textId="77777777" w:rsidR="00CD3A11" w:rsidRPr="00DE03AE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C1E0C81" w14:textId="64BBBD9B" w:rsidR="00CD3A11" w:rsidRDefault="00CD3A11" w:rsidP="00CD3A11">
            <w:r>
              <w:t>Shaun Riley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7D262FD" w14:textId="3F4A5A4E" w:rsidR="00CD3A11" w:rsidRDefault="00CD3A11" w:rsidP="00CD3A11">
            <w:r>
              <w:t>Interim Director of Adult Social Services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D2C719A" w14:textId="149DE411" w:rsidR="00CD3A11" w:rsidRPr="007007E1" w:rsidRDefault="00CD3A11" w:rsidP="00CD3A11"/>
        </w:tc>
      </w:tr>
      <w:tr w:rsidR="00CD3A11" w14:paraId="052FF04D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485BA" w14:textId="77777777" w:rsidR="00CD3A11" w:rsidRPr="00DE03AE" w:rsidRDefault="00CD3A11" w:rsidP="00CD3A11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08AF5F4" w14:textId="77777777" w:rsidR="00CD3A11" w:rsidRDefault="00CD3A11" w:rsidP="00CD3A11">
            <w:r>
              <w:t>Patrick O’Dwyer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7E0A731E" w14:textId="77777777" w:rsidR="00CD3A11" w:rsidRDefault="00CD3A11" w:rsidP="00CD3A11">
            <w:r>
              <w:t>Director of Education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1EF5229" w14:textId="0F13DCF7" w:rsidR="00CD3A11" w:rsidRPr="007007E1" w:rsidRDefault="00CD3A11" w:rsidP="00CD3A11"/>
        </w:tc>
      </w:tr>
      <w:tr w:rsidR="001033BD" w14:paraId="6A2A73A9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F711" w14:textId="4F3478B8" w:rsidR="001033BD" w:rsidRPr="00DE03AE" w:rsidRDefault="001033BD" w:rsidP="001033BD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B371061" w14:textId="77777777" w:rsidR="001033BD" w:rsidRDefault="001033BD" w:rsidP="001033BD">
            <w:r>
              <w:t>Johanna Morgan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A7C44D7" w14:textId="77777777" w:rsidR="001033BD" w:rsidRDefault="001033BD" w:rsidP="001033BD">
            <w:r>
              <w:t>Divisional Director Commercial &amp; Regeneration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C69994A" w14:textId="422F27D3" w:rsidR="001033BD" w:rsidRPr="007007E1" w:rsidRDefault="001033BD" w:rsidP="001033BD"/>
        </w:tc>
      </w:tr>
      <w:tr w:rsidR="001033BD" w14:paraId="1566A0D3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41B0B" w14:textId="77777777" w:rsidR="001033BD" w:rsidRPr="00BA1AD2" w:rsidRDefault="001033BD" w:rsidP="001033BD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3DF8543" w14:textId="3C16AF8C" w:rsidR="009A7624" w:rsidRPr="009A7624" w:rsidRDefault="009A7624" w:rsidP="009A7624">
            <w:pPr>
              <w:shd w:val="clear" w:color="auto" w:fill="F5F5F5"/>
              <w:rPr>
                <w:color w:val="242424"/>
                <w:lang w:eastAsia="en-GB"/>
              </w:rPr>
            </w:pPr>
            <w:r w:rsidRPr="00BA1AD2">
              <w:rPr>
                <w:color w:val="242424"/>
                <w:lang w:eastAsia="en-GB"/>
              </w:rPr>
              <w:t>S</w:t>
            </w:r>
            <w:r w:rsidRPr="009A7624">
              <w:rPr>
                <w:color w:val="242424"/>
                <w:lang w:eastAsia="en-GB"/>
              </w:rPr>
              <w:t>humailla Dar</w:t>
            </w:r>
          </w:p>
          <w:p w14:paraId="27AE707B" w14:textId="77777777" w:rsidR="001033BD" w:rsidRPr="00BA1AD2" w:rsidRDefault="001033BD" w:rsidP="009A7624">
            <w:pPr>
              <w:shd w:val="clear" w:color="auto" w:fill="F5F5F5"/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9BCA8B2" w14:textId="77777777" w:rsidR="009A7624" w:rsidRPr="009A7624" w:rsidRDefault="009A7624" w:rsidP="009A7624">
            <w:pPr>
              <w:shd w:val="clear" w:color="auto" w:fill="F5F5F5"/>
              <w:rPr>
                <w:color w:val="424242"/>
                <w:lang w:eastAsia="en-GB"/>
              </w:rPr>
            </w:pPr>
            <w:r w:rsidRPr="009A7624">
              <w:rPr>
                <w:color w:val="424242"/>
                <w:lang w:eastAsia="en-GB"/>
              </w:rPr>
              <w:t>Interim Assistant Director Strategy</w:t>
            </w:r>
          </w:p>
          <w:p w14:paraId="6A1DDF58" w14:textId="77777777" w:rsidR="001033BD" w:rsidRPr="00BA1AD2" w:rsidRDefault="001033BD" w:rsidP="001033BD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70E29CF" w14:textId="77777777" w:rsidR="001033BD" w:rsidRPr="007007E1" w:rsidRDefault="001033BD" w:rsidP="001033BD"/>
        </w:tc>
      </w:tr>
      <w:tr w:rsidR="001D14BE" w14:paraId="02840B3C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48217" w14:textId="4F376248" w:rsidR="001D14BE" w:rsidRPr="0091377B" w:rsidRDefault="001D14BE" w:rsidP="001D14BE">
            <w:pPr>
              <w:rPr>
                <w:b/>
                <w:bCs/>
              </w:rPr>
            </w:pPr>
            <w:r>
              <w:br w:type="page"/>
            </w:r>
            <w:r w:rsidRPr="0091377B">
              <w:rPr>
                <w:b/>
                <w:bCs/>
              </w:rPr>
              <w:t>Place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26F721E" w14:textId="3560E84F" w:rsidR="001D14BE" w:rsidRDefault="001D14BE" w:rsidP="001D14BE">
            <w:r>
              <w:t xml:space="preserve">Dipti Patel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0879A080" w14:textId="6A07A418" w:rsidR="001D14BE" w:rsidRDefault="001D14BE" w:rsidP="001D14BE">
            <w:r>
              <w:t>Corporate Director Place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D0EF970" w14:textId="2617B434" w:rsidR="001D14BE" w:rsidRPr="007007E1" w:rsidRDefault="001D14BE" w:rsidP="001D14BE"/>
        </w:tc>
      </w:tr>
      <w:tr w:rsidR="001D14BE" w14:paraId="0913E7A4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A0EA" w14:textId="77777777" w:rsidR="001D14BE" w:rsidRPr="00866248" w:rsidRDefault="001D14BE" w:rsidP="001D14BE">
            <w:pPr>
              <w:rPr>
                <w:b/>
                <w:bCs/>
                <w:highlight w:val="yellow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2BCF99D" w14:textId="51A3A761" w:rsidR="001D14BE" w:rsidRPr="008053E4" w:rsidRDefault="001D14BE" w:rsidP="001D14BE">
            <w:r w:rsidRPr="008053E4">
              <w:t>Cathy Knubley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6C0ED41" w14:textId="77777777" w:rsidR="001D14BE" w:rsidRPr="008053E4" w:rsidRDefault="001D14BE" w:rsidP="001D14BE">
            <w:r w:rsidRPr="008053E4">
              <w:t>Interim Director Environmental Services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25A9BB3" w14:textId="08109C3E" w:rsidR="001D14BE" w:rsidRPr="007007E1" w:rsidRDefault="001D14BE" w:rsidP="001D14BE"/>
        </w:tc>
      </w:tr>
      <w:tr w:rsidR="001D14BE" w14:paraId="7391733B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E5739" w14:textId="77777777" w:rsidR="001D14BE" w:rsidRPr="008053E4" w:rsidRDefault="001D14BE" w:rsidP="001D14BE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BA44956" w14:textId="77777777" w:rsidR="001D14BE" w:rsidRPr="008053E4" w:rsidRDefault="001D14BE" w:rsidP="001D14BE">
            <w:r w:rsidRPr="008053E4">
              <w:t>Mark Billington</w:t>
            </w:r>
          </w:p>
          <w:p w14:paraId="15C4F762" w14:textId="2D7393BA" w:rsidR="001D14BE" w:rsidRPr="008053E4" w:rsidRDefault="009E10E0" w:rsidP="001D14BE">
            <w:proofErr w:type="spellStart"/>
            <w:r>
              <w:t>Kirstan</w:t>
            </w:r>
            <w:proofErr w:type="spellEnd"/>
            <w:r>
              <w:t xml:space="preserve"> Shiels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31F14CDB" w14:textId="77777777" w:rsidR="001D14BE" w:rsidRDefault="001D14BE" w:rsidP="001D14BE">
            <w:r w:rsidRPr="008053E4">
              <w:t>Director Inclusive Economy, Leisure &amp; Culture</w:t>
            </w:r>
          </w:p>
          <w:p w14:paraId="40531DA1" w14:textId="50D34610" w:rsidR="009E10E0" w:rsidRPr="008053E4" w:rsidRDefault="009E10E0" w:rsidP="001D14BE">
            <w:r w:rsidRPr="007648BD">
              <w:t>Interim</w:t>
            </w:r>
            <w:r w:rsidR="00824644" w:rsidRPr="007648BD">
              <w:t xml:space="preserve"> Director Regeneration Programme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FA477B6" w14:textId="31595AA8" w:rsidR="001D14BE" w:rsidRPr="007007E1" w:rsidRDefault="001D14BE" w:rsidP="001D14BE"/>
        </w:tc>
      </w:tr>
      <w:tr w:rsidR="001D14BE" w14:paraId="494463EA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E90C7" w14:textId="77777777" w:rsidR="001D14BE" w:rsidRPr="00866248" w:rsidRDefault="001D14BE" w:rsidP="001D14BE">
            <w:pPr>
              <w:rPr>
                <w:b/>
                <w:bCs/>
                <w:highlight w:val="yellow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04DCF7" w14:textId="7DB25FD8" w:rsidR="001D14BE" w:rsidRPr="00E71CD4" w:rsidRDefault="001D14BE" w:rsidP="001D14BE">
            <w:r w:rsidRPr="00E71CD4">
              <w:t>David McNulty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79DABD3" w14:textId="77094194" w:rsidR="001D14BE" w:rsidRPr="00E71CD4" w:rsidRDefault="001D14BE" w:rsidP="001D14BE">
            <w:r w:rsidRPr="00E71CD4">
              <w:t>Director of Housing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6D58B0F" w14:textId="014415DB" w:rsidR="001D14BE" w:rsidRPr="007007E1" w:rsidRDefault="001D14BE" w:rsidP="001D14BE"/>
        </w:tc>
      </w:tr>
      <w:tr w:rsidR="001D14BE" w14:paraId="2EC979C8" w14:textId="77777777" w:rsidTr="009721C4">
        <w:trPr>
          <w:trHeight w:val="4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9DAF4" w14:textId="77777777" w:rsidR="001D14BE" w:rsidRPr="00866248" w:rsidRDefault="001D14BE" w:rsidP="001D14BE">
            <w:pPr>
              <w:rPr>
                <w:b/>
                <w:bCs/>
                <w:highlight w:val="yellow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86578D" w14:textId="0A4E10FF" w:rsidR="00E71CD4" w:rsidRDefault="00E71CD4" w:rsidP="001D14BE">
            <w:r w:rsidRPr="00E71CD4">
              <w:t>Viv Evans</w:t>
            </w:r>
          </w:p>
          <w:p w14:paraId="78119F66" w14:textId="78D495A3" w:rsidR="00D35C63" w:rsidRPr="00E71CD4" w:rsidRDefault="00D35C63" w:rsidP="001D14BE">
            <w:r>
              <w:t>Matthew Adams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012F57A9" w14:textId="3227D613" w:rsidR="00E71CD4" w:rsidRPr="00296CC7" w:rsidRDefault="00E71CD4" w:rsidP="001D14BE">
            <w:r w:rsidRPr="00296CC7">
              <w:t>Interim Chief Planning Officer</w:t>
            </w:r>
          </w:p>
          <w:p w14:paraId="571D0750" w14:textId="27851594" w:rsidR="00D35C63" w:rsidRPr="00296CC7" w:rsidRDefault="00A41009" w:rsidP="001D14BE">
            <w:r w:rsidRPr="00296CC7">
              <w:t>Assistant Director Climate Change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FAE5A43" w14:textId="2C0720CA" w:rsidR="001D14BE" w:rsidRPr="007007E1" w:rsidRDefault="001D14BE" w:rsidP="001D14BE"/>
        </w:tc>
      </w:tr>
      <w:tr w:rsidR="001D14BE" w14:paraId="4D973059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1C567" w14:textId="77777777" w:rsidR="001D14BE" w:rsidRDefault="001D14BE" w:rsidP="001D14BE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60EA86F" w14:textId="1C1CD0C5" w:rsidR="001D14BE" w:rsidRDefault="009F4986" w:rsidP="001D14BE">
            <w:r>
              <w:t>Julian Wain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B605DA7" w14:textId="2C873405" w:rsidR="001D14BE" w:rsidRDefault="009F4986" w:rsidP="001D14BE">
            <w:r>
              <w:t xml:space="preserve">Interim Director </w:t>
            </w:r>
            <w:r w:rsidR="00D766B7">
              <w:t>Commercial Development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AF5AA68" w14:textId="2881C1FF" w:rsidR="001D14BE" w:rsidRPr="007007E1" w:rsidRDefault="001D14BE" w:rsidP="001D14BE"/>
        </w:tc>
      </w:tr>
      <w:tr w:rsidR="001D14BE" w14:paraId="050D37CC" w14:textId="77777777" w:rsidTr="009721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694A2" w14:textId="77777777" w:rsidR="001D14BE" w:rsidRDefault="001D14BE" w:rsidP="001D14BE">
            <w:pPr>
              <w:rPr>
                <w:b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F20DD93" w14:textId="605529DB" w:rsidR="001D14BE" w:rsidRDefault="007648BD" w:rsidP="001D14BE">
            <w:r>
              <w:t>Emma Talbot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AE11843" w14:textId="68D01882" w:rsidR="001D14BE" w:rsidRDefault="007648BD" w:rsidP="001D14BE">
            <w:r>
              <w:t>Director of Regeneration &amp; Sustainability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86C7D3C" w14:textId="14FC2619" w:rsidR="001D14BE" w:rsidRPr="007007E1" w:rsidRDefault="001D14BE" w:rsidP="001D14BE"/>
        </w:tc>
      </w:tr>
    </w:tbl>
    <w:p w14:paraId="67224E25" w14:textId="77777777" w:rsidR="00AC3094" w:rsidRPr="007007E1" w:rsidRDefault="00AC3094" w:rsidP="00AC3094">
      <w:pPr>
        <w:rPr>
          <w:b/>
          <w:bCs/>
        </w:rPr>
      </w:pPr>
      <w:r w:rsidRPr="007007E1">
        <w:rPr>
          <w:b/>
          <w:bCs/>
        </w:rPr>
        <w:br w:type="page"/>
      </w:r>
    </w:p>
    <w:p w14:paraId="6098E62C" w14:textId="77777777" w:rsidR="0023525F" w:rsidRDefault="009D128D" w:rsidP="0023525F">
      <w:pPr>
        <w:ind w:left="60"/>
        <w:jc w:val="both"/>
        <w:rPr>
          <w:b/>
          <w:lang w:val="en-US"/>
        </w:rPr>
      </w:pPr>
      <w:r>
        <w:rPr>
          <w:b/>
          <w:lang w:val="en-US"/>
        </w:rPr>
        <w:lastRenderedPageBreak/>
        <w:t>Internal Audit Plan</w:t>
      </w:r>
    </w:p>
    <w:p w14:paraId="64C319F9" w14:textId="77777777" w:rsidR="009D128D" w:rsidRDefault="009D128D" w:rsidP="0023525F">
      <w:pPr>
        <w:ind w:left="60"/>
        <w:jc w:val="both"/>
        <w:rPr>
          <w:b/>
          <w:lang w:val="en-US"/>
        </w:rPr>
      </w:pPr>
    </w:p>
    <w:tbl>
      <w:tblPr>
        <w:tblW w:w="1392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86"/>
        <w:gridCol w:w="1530"/>
        <w:gridCol w:w="3402"/>
        <w:gridCol w:w="4707"/>
        <w:gridCol w:w="850"/>
        <w:gridCol w:w="851"/>
      </w:tblGrid>
      <w:tr w:rsidR="006E2975" w:rsidRPr="0085183D" w14:paraId="53C004E1" w14:textId="587A54BA" w:rsidTr="00F92A1C">
        <w:trPr>
          <w:trHeight w:val="60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BC84631" w14:textId="77777777" w:rsidR="006E2975" w:rsidRPr="0085183D" w:rsidRDefault="006E2975" w:rsidP="00A91F2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Review Area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398C62" w14:textId="77777777" w:rsidR="006E2975" w:rsidRPr="0085183D" w:rsidRDefault="006E2975" w:rsidP="00E45F4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Risk Assessment</w:t>
            </w:r>
            <w:r w:rsidRPr="0085183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US"/>
              </w:rPr>
              <w:footnoteReference w:id="2"/>
            </w:r>
            <w:r w:rsidRPr="008518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CB697C" w14:textId="77777777" w:rsidR="006E2975" w:rsidRPr="0085183D" w:rsidRDefault="006E2975" w:rsidP="0020233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Reason for inclusion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9AAABE" w14:textId="77777777" w:rsidR="006E2975" w:rsidRPr="0085183D" w:rsidRDefault="006E2975" w:rsidP="00E45F4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Proposed Audit Coverage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94F5B2" w14:textId="77777777" w:rsidR="006E2975" w:rsidRPr="00A91F2C" w:rsidRDefault="006E2975" w:rsidP="00E45F4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Audit Days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269C2" w14:textId="159504B5" w:rsidR="006E2975" w:rsidRPr="0085183D" w:rsidRDefault="006E2975" w:rsidP="00E051A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Q</w:t>
            </w:r>
            <w:r w:rsidR="0082281A">
              <w:rPr>
                <w:b/>
                <w:bCs/>
                <w:sz w:val="20"/>
                <w:szCs w:val="20"/>
                <w:lang w:val="en-US"/>
              </w:rPr>
              <w:t>tr</w:t>
            </w:r>
            <w:proofErr w:type="spellEnd"/>
          </w:p>
        </w:tc>
      </w:tr>
      <w:tr w:rsidR="006E2975" w:rsidRPr="00766FE0" w14:paraId="64E914D5" w14:textId="78AFD3D7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880309" w14:textId="77777777" w:rsidR="006E2975" w:rsidRPr="007553AF" w:rsidRDefault="006E2975" w:rsidP="00755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Financial Systems </w:t>
            </w:r>
          </w:p>
        </w:tc>
      </w:tr>
      <w:tr w:rsidR="006E2975" w:rsidRPr="00766FE0" w14:paraId="2C9CAA39" w14:textId="2BE3AB51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02AF" w14:textId="0EAC960E" w:rsidR="006E2975" w:rsidRPr="00D05BB0" w:rsidRDefault="006E2975" w:rsidP="00163272">
            <w:pPr>
              <w:rPr>
                <w:sz w:val="20"/>
                <w:szCs w:val="20"/>
              </w:rPr>
            </w:pPr>
            <w:bookmarkStart w:id="0" w:name="_Hlk136341057"/>
            <w:r w:rsidRPr="00D05BB0">
              <w:rPr>
                <w:sz w:val="20"/>
                <w:szCs w:val="20"/>
              </w:rPr>
              <w:t xml:space="preserve">Payroll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BFDA" w14:textId="0E05598D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E497" w14:textId="7E492E1E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38E4" w14:textId="587B2211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Evidence Based Control Self- Assessment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59F7" w14:textId="47CD28B0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6272" w14:textId="40CEA958" w:rsidR="006E2975" w:rsidRPr="001B7FE0" w:rsidRDefault="006E2975" w:rsidP="00163272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Q1</w:t>
            </w:r>
          </w:p>
        </w:tc>
      </w:tr>
      <w:tr w:rsidR="006E2975" w:rsidRPr="00766FE0" w14:paraId="168569F3" w14:textId="45F8EE0F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1C230" w14:textId="74B551BF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Corporate Accounts Payable </w:t>
            </w:r>
            <w:r w:rsidRPr="00D05B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8EB8" w14:textId="6B0E07A4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F62C" w14:textId="14481724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BAD9" w14:textId="2CAC7D99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Evidence Based Control Self- Assessment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C789" w14:textId="37FCED2D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AF28" w14:textId="7DCA57C8" w:rsidR="006E2975" w:rsidRPr="001B7FE0" w:rsidRDefault="006E2975" w:rsidP="00163272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Q1</w:t>
            </w:r>
          </w:p>
        </w:tc>
      </w:tr>
      <w:tr w:rsidR="006E2975" w:rsidRPr="00766FE0" w14:paraId="2ACA74E4" w14:textId="7936273F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E511" w14:textId="24A3722F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Corporate Accounts Receivable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77B2" w14:textId="2D602CD3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BC2F" w14:textId="5DA45385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CB7" w14:textId="0425105A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59EB" w14:textId="661618D8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8CBA" w14:textId="1D33E5C7" w:rsidR="006E2975" w:rsidRPr="001B7FE0" w:rsidRDefault="006E2975" w:rsidP="0016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</w:tr>
      <w:tr w:rsidR="006E2975" w:rsidRPr="00766FE0" w14:paraId="3068A161" w14:textId="0704E7D4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121CB" w14:textId="77777777" w:rsidR="006E2975" w:rsidRPr="00D05BB0" w:rsidRDefault="006E2975" w:rsidP="000F227F">
            <w:pPr>
              <w:rPr>
                <w:i/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Housing Benefit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098" w14:textId="77777777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CDFB" w14:textId="77777777" w:rsidR="006E2975" w:rsidRPr="00D05BB0" w:rsidRDefault="006E2975" w:rsidP="000F227F"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C33" w14:textId="4CD5BF40" w:rsidR="006E2975" w:rsidRPr="00D05BB0" w:rsidRDefault="006E2975" w:rsidP="000F227F">
            <w:r w:rsidRPr="00D05BB0">
              <w:rPr>
                <w:sz w:val="20"/>
                <w:szCs w:val="20"/>
              </w:rPr>
              <w:t xml:space="preserve">Evidence Based Control Self- Assessment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4E74" w14:textId="37DE4608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572A" w14:textId="77777777" w:rsidR="006E2975" w:rsidRPr="001B7FE0" w:rsidRDefault="006E2975" w:rsidP="000F227F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Q1</w:t>
            </w:r>
          </w:p>
        </w:tc>
      </w:tr>
      <w:tr w:rsidR="006E2975" w:rsidRPr="00766FE0" w14:paraId="7311BF6E" w14:textId="102DB6EC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DCC6" w14:textId="77777777" w:rsidR="006E2975" w:rsidRPr="00D05BB0" w:rsidRDefault="006E2975" w:rsidP="000F227F">
            <w:pPr>
              <w:rPr>
                <w:i/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Treasury Management                 </w:t>
            </w:r>
            <w:r w:rsidRPr="00D05BB0">
              <w:rPr>
                <w:i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AA7" w14:textId="77777777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9C2D" w14:textId="77777777" w:rsidR="006E2975" w:rsidRPr="00D05BB0" w:rsidRDefault="006E2975" w:rsidP="000F227F"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2637" w14:textId="10D89D74" w:rsidR="006E2975" w:rsidRPr="00D05BB0" w:rsidRDefault="006E2975" w:rsidP="000F227F">
            <w:r w:rsidRPr="00D05BB0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EAD7" w14:textId="653182B0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124B" w14:textId="77777777" w:rsidR="006E2975" w:rsidRPr="001B7FE0" w:rsidRDefault="006E2975" w:rsidP="000F227F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Q1</w:t>
            </w:r>
          </w:p>
        </w:tc>
      </w:tr>
      <w:tr w:rsidR="006E2975" w:rsidRPr="00766FE0" w14:paraId="5CC0CF68" w14:textId="59FCEBAD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C64A" w14:textId="77777777" w:rsidR="006E2975" w:rsidRPr="00D05BB0" w:rsidRDefault="006E2975" w:rsidP="000F227F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Housing Rents</w:t>
            </w:r>
          </w:p>
          <w:p w14:paraId="4568CAF1" w14:textId="77777777" w:rsidR="006E2975" w:rsidRPr="00D05BB0" w:rsidRDefault="006E2975" w:rsidP="000F227F">
            <w:pPr>
              <w:rPr>
                <w:i/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5305" w14:textId="77777777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CDFE" w14:textId="77777777" w:rsidR="006E2975" w:rsidRPr="00D05BB0" w:rsidRDefault="006E2975" w:rsidP="000F227F"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67AE" w14:textId="3F432F84" w:rsidR="006E2975" w:rsidRPr="00D05BB0" w:rsidRDefault="006E2975" w:rsidP="000F227F">
            <w:r w:rsidRPr="00D05BB0">
              <w:rPr>
                <w:sz w:val="20"/>
                <w:szCs w:val="20"/>
              </w:rPr>
              <w:t>Evidence Based Control Self–Assessment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952" w14:textId="49F5C840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030C" w14:textId="77777777" w:rsidR="006E2975" w:rsidRPr="001B7FE0" w:rsidRDefault="006E2975" w:rsidP="000F227F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Q1</w:t>
            </w:r>
          </w:p>
        </w:tc>
      </w:tr>
      <w:tr w:rsidR="006E2975" w:rsidRPr="00766FE0" w14:paraId="4B38DFBD" w14:textId="74240F86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03AE" w14:textId="77777777" w:rsidR="006E2975" w:rsidRPr="00D05BB0" w:rsidRDefault="006E2975" w:rsidP="000F227F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Council Tax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D6A4" w14:textId="77777777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46C5" w14:textId="77777777" w:rsidR="006E2975" w:rsidRPr="00D05BB0" w:rsidRDefault="006E2975" w:rsidP="000F227F"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AA58" w14:textId="77777777" w:rsidR="006E2975" w:rsidRPr="00D05BB0" w:rsidRDefault="006E2975" w:rsidP="000F227F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Evidence Based Control Self- Assessment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9CFB" w14:textId="77777777" w:rsidR="006E2975" w:rsidRPr="00D05BB0" w:rsidRDefault="006E2975" w:rsidP="000F227F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06B3" w14:textId="77777777" w:rsidR="006E2975" w:rsidRPr="001B7FE0" w:rsidRDefault="006E2975" w:rsidP="000F227F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Q1</w:t>
            </w:r>
          </w:p>
        </w:tc>
      </w:tr>
      <w:tr w:rsidR="006E2975" w:rsidRPr="00766FE0" w14:paraId="5A52E8BD" w14:textId="5D013821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3FB4" w14:textId="2A0BBB62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Capital </w:t>
            </w:r>
            <w:proofErr w:type="gramStart"/>
            <w:r w:rsidRPr="00D05BB0">
              <w:rPr>
                <w:sz w:val="20"/>
                <w:szCs w:val="20"/>
              </w:rPr>
              <w:t>expenditure  +</w:t>
            </w:r>
            <w:proofErr w:type="gramEnd"/>
            <w:r w:rsidRPr="00D05BB0">
              <w:rPr>
                <w:sz w:val="20"/>
                <w:szCs w:val="20"/>
              </w:rPr>
              <w:t xml:space="preserve"> Follow-up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BD5A" w14:textId="3F214BA7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DAD3" w14:textId="7B601A55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Core Financial System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7BD1" w14:textId="3B0B4D53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Key Control Review – Follow-up of recommendations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A603" w14:textId="510A0182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DEC" w14:textId="668B82CD" w:rsidR="006E2975" w:rsidRPr="001B7FE0" w:rsidRDefault="006E2975" w:rsidP="0016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</w:tr>
      <w:tr w:rsidR="006E2975" w:rsidRPr="00766FE0" w14:paraId="43508D25" w14:textId="4B3754FC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9716" w14:textId="78077446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Business Rates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E0D6" w14:textId="5104A17B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5447" w14:textId="39B3D5DC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 xml:space="preserve">Core Financial System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D5CD" w14:textId="1255F9DD" w:rsidR="006E2975" w:rsidRPr="00D05BB0" w:rsidRDefault="006E2975" w:rsidP="00163272">
            <w:pPr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Key Control Review – Follow-up of Recommendations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E12E" w14:textId="19DE1899" w:rsidR="006E2975" w:rsidRPr="00D05BB0" w:rsidRDefault="006E2975" w:rsidP="00163272">
            <w:pPr>
              <w:jc w:val="center"/>
              <w:rPr>
                <w:sz w:val="20"/>
                <w:szCs w:val="20"/>
              </w:rPr>
            </w:pPr>
            <w:r w:rsidRPr="00D05BB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7508" w14:textId="72A5E486" w:rsidR="006E2975" w:rsidRPr="001B7FE0" w:rsidRDefault="006E2975" w:rsidP="0016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</w:tr>
      <w:tr w:rsidR="006E2975" w:rsidRPr="00915B3F" w14:paraId="00912E13" w14:textId="15F66579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EC1FEA" w14:textId="77777777" w:rsidR="006E2975" w:rsidRPr="007553AF" w:rsidRDefault="006E2975" w:rsidP="007553AF">
            <w:pPr>
              <w:jc w:val="center"/>
              <w:rPr>
                <w:b/>
                <w:sz w:val="20"/>
                <w:szCs w:val="20"/>
              </w:rPr>
            </w:pPr>
            <w:bookmarkStart w:id="1" w:name="_Hlk109046898"/>
            <w:bookmarkEnd w:id="0"/>
            <w:r>
              <w:rPr>
                <w:b/>
                <w:sz w:val="20"/>
                <w:szCs w:val="20"/>
              </w:rPr>
              <w:t>IT</w:t>
            </w:r>
          </w:p>
        </w:tc>
      </w:tr>
      <w:tr w:rsidR="006E2975" w:rsidRPr="00915B3F" w14:paraId="5A65A332" w14:textId="0B87BB67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D8C6C5" w14:textId="402DF1FD" w:rsidR="006E2975" w:rsidRPr="00CD57E5" w:rsidRDefault="006E2975" w:rsidP="0071372F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IT Support – Service Integration and Management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E671C" w14:textId="6DF11758" w:rsidR="006E2975" w:rsidRPr="00CD57E5" w:rsidRDefault="006E2975" w:rsidP="00E45F42">
            <w:pPr>
              <w:jc w:val="center"/>
              <w:rPr>
                <w:sz w:val="20"/>
                <w:szCs w:val="20"/>
                <w:lang w:val="en-US"/>
              </w:rPr>
            </w:pPr>
            <w:r w:rsidRPr="00CD57E5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65419" w14:textId="1F6F573F" w:rsidR="006E2975" w:rsidRPr="00CD57E5" w:rsidRDefault="006E2975" w:rsidP="00FD67EF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 xml:space="preserve">New arrangements in place, some in-house </w:t>
            </w:r>
            <w:proofErr w:type="gramStart"/>
            <w:r w:rsidRPr="00CD57E5">
              <w:rPr>
                <w:sz w:val="20"/>
                <w:szCs w:val="20"/>
              </w:rPr>
              <w:t>provision</w:t>
            </w:r>
            <w:proofErr w:type="gramEnd"/>
            <w:r w:rsidRPr="00CD57E5">
              <w:rPr>
                <w:sz w:val="20"/>
                <w:szCs w:val="20"/>
              </w:rPr>
              <w:t xml:space="preserve"> and some contracts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4FC07" w14:textId="7EE48280" w:rsidR="006E2975" w:rsidRPr="00CD57E5" w:rsidRDefault="006E2975" w:rsidP="00E45F42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A review of how the elements of the support work together and are being managed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742E" w14:textId="7872775D" w:rsidR="006E2975" w:rsidRPr="00CD57E5" w:rsidRDefault="006E2975" w:rsidP="00F21F16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6E82B" w14:textId="483FAC8B" w:rsidR="006E2975" w:rsidRPr="00CD57E5" w:rsidRDefault="006E2975" w:rsidP="00514775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Q3/4</w:t>
            </w:r>
          </w:p>
        </w:tc>
      </w:tr>
      <w:tr w:rsidR="006E2975" w:rsidRPr="00915B3F" w14:paraId="5E2197F4" w14:textId="6C028E1B" w:rsidTr="00F92A1C">
        <w:trPr>
          <w:trHeight w:val="25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0CE288" w14:textId="5125FF47" w:rsidR="006E2975" w:rsidRPr="00CD57E5" w:rsidRDefault="00543615" w:rsidP="0071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Systems – third party hosted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B4429" w14:textId="62C09BD1" w:rsidR="006E2975" w:rsidRPr="00CD57E5" w:rsidRDefault="006E2975" w:rsidP="00E45F42">
            <w:pPr>
              <w:jc w:val="center"/>
              <w:rPr>
                <w:sz w:val="20"/>
                <w:szCs w:val="20"/>
                <w:lang w:val="en-US"/>
              </w:rPr>
            </w:pPr>
            <w:r w:rsidRPr="00CD57E5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C10B" w14:textId="5366D6FF" w:rsidR="006E2975" w:rsidRPr="00543615" w:rsidRDefault="00543615" w:rsidP="00FD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provide assurance </w:t>
            </w:r>
            <w:r w:rsidR="00D47B5C">
              <w:rPr>
                <w:sz w:val="20"/>
                <w:szCs w:val="20"/>
              </w:rPr>
              <w:t>our systems and data are adequately protected by the third parties providing these systems.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AF6C" w14:textId="6886E433" w:rsidR="006E2975" w:rsidRPr="00543615" w:rsidRDefault="00543615" w:rsidP="00E45F42">
            <w:pPr>
              <w:rPr>
                <w:sz w:val="20"/>
                <w:szCs w:val="20"/>
              </w:rPr>
            </w:pPr>
            <w:r>
              <w:rPr>
                <w:rStyle w:val="ui-provider"/>
                <w:sz w:val="20"/>
                <w:szCs w:val="20"/>
              </w:rPr>
              <w:t xml:space="preserve">A review </w:t>
            </w:r>
            <w:r w:rsidR="00D47B5C">
              <w:rPr>
                <w:rStyle w:val="ui-provider"/>
                <w:sz w:val="20"/>
                <w:szCs w:val="20"/>
              </w:rPr>
              <w:t xml:space="preserve">of </w:t>
            </w:r>
            <w:proofErr w:type="gramStart"/>
            <w:r>
              <w:rPr>
                <w:rStyle w:val="ui-provider"/>
                <w:sz w:val="20"/>
                <w:szCs w:val="20"/>
              </w:rPr>
              <w:t>cloud based</w:t>
            </w:r>
            <w:proofErr w:type="gramEnd"/>
            <w:r>
              <w:rPr>
                <w:rStyle w:val="ui-provider"/>
                <w:sz w:val="20"/>
                <w:szCs w:val="20"/>
              </w:rPr>
              <w:t xml:space="preserve"> systems p</w:t>
            </w:r>
            <w:r w:rsidRPr="00543615">
              <w:rPr>
                <w:rStyle w:val="ui-provider"/>
                <w:sz w:val="20"/>
                <w:szCs w:val="20"/>
              </w:rPr>
              <w:t>rovided, hosted and supported by third parties</w:t>
            </w:r>
            <w:r>
              <w:rPr>
                <w:rStyle w:val="ui-provider"/>
                <w:sz w:val="20"/>
                <w:szCs w:val="20"/>
              </w:rPr>
              <w:t xml:space="preserve">. </w:t>
            </w:r>
            <w:r w:rsidRPr="00543615">
              <w:rPr>
                <w:rStyle w:val="ui-provider"/>
                <w:sz w:val="20"/>
                <w:szCs w:val="20"/>
              </w:rPr>
              <w:t>Almost all our systems and our biggest cyber risks are now in this category</w:t>
            </w:r>
            <w:r>
              <w:rPr>
                <w:rStyle w:val="ui-provider"/>
                <w:sz w:val="20"/>
                <w:szCs w:val="20"/>
              </w:rPr>
              <w:t>.  C</w:t>
            </w:r>
            <w:r w:rsidRPr="00543615">
              <w:rPr>
                <w:rStyle w:val="ui-provider"/>
                <w:sz w:val="20"/>
                <w:szCs w:val="20"/>
              </w:rPr>
              <w:t xml:space="preserve">ontractual element </w:t>
            </w:r>
            <w:proofErr w:type="gramStart"/>
            <w:r w:rsidRPr="00543615">
              <w:rPr>
                <w:rStyle w:val="ui-provider"/>
                <w:sz w:val="20"/>
                <w:szCs w:val="20"/>
              </w:rPr>
              <w:t>i</w:t>
            </w:r>
            <w:r>
              <w:rPr>
                <w:rStyle w:val="ui-provider"/>
                <w:sz w:val="20"/>
                <w:szCs w:val="20"/>
              </w:rPr>
              <w:t>.</w:t>
            </w:r>
            <w:r w:rsidRPr="00543615">
              <w:rPr>
                <w:rStyle w:val="ui-provider"/>
                <w:sz w:val="20"/>
                <w:szCs w:val="20"/>
              </w:rPr>
              <w:t>e</w:t>
            </w:r>
            <w:r>
              <w:rPr>
                <w:rStyle w:val="ui-provider"/>
                <w:sz w:val="20"/>
                <w:szCs w:val="20"/>
              </w:rPr>
              <w:t>.</w:t>
            </w:r>
            <w:proofErr w:type="gramEnd"/>
            <w:r w:rsidRPr="00543615">
              <w:rPr>
                <w:rStyle w:val="ui-provider"/>
                <w:sz w:val="20"/>
                <w:szCs w:val="20"/>
              </w:rPr>
              <w:t xml:space="preserve"> do our contracts place correct obligations on the providers and allow for us to audit them against these from technical perspective.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A6F6B" w14:textId="4849DD72" w:rsidR="006E2975" w:rsidRPr="00CD57E5" w:rsidRDefault="00543615" w:rsidP="00F2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23A7" w14:textId="380C3597" w:rsidR="006E2975" w:rsidRPr="00CD57E5" w:rsidRDefault="006E2975" w:rsidP="00514775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Q4</w:t>
            </w:r>
          </w:p>
        </w:tc>
      </w:tr>
      <w:bookmarkEnd w:id="1"/>
    </w:tbl>
    <w:p w14:paraId="2FCB483B" w14:textId="77777777" w:rsidR="00DC525F" w:rsidRDefault="00DC525F">
      <w:r>
        <w:br w:type="page"/>
      </w:r>
    </w:p>
    <w:tbl>
      <w:tblPr>
        <w:tblW w:w="1392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699"/>
        <w:gridCol w:w="1417"/>
        <w:gridCol w:w="3402"/>
        <w:gridCol w:w="4707"/>
        <w:gridCol w:w="850"/>
        <w:gridCol w:w="851"/>
      </w:tblGrid>
      <w:tr w:rsidR="006E2975" w:rsidRPr="0052462F" w14:paraId="10847819" w14:textId="6B231865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47CCB1" w14:textId="302C5525" w:rsidR="006E2975" w:rsidRPr="00431402" w:rsidRDefault="006E2975" w:rsidP="00431402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Corporate Compliance Checks</w:t>
            </w:r>
          </w:p>
        </w:tc>
      </w:tr>
      <w:tr w:rsidR="006E2975" w:rsidRPr="00E840BE" w14:paraId="51797C22" w14:textId="225DB93D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E248" w14:textId="77777777" w:rsidR="006E2975" w:rsidRPr="001B7FE0" w:rsidRDefault="006E2975" w:rsidP="00E73ABA">
            <w:pPr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HR Policies</w:t>
            </w:r>
          </w:p>
          <w:p w14:paraId="37068CF7" w14:textId="25DCB14D" w:rsidR="006E2975" w:rsidRPr="001B7FE0" w:rsidRDefault="006E2975" w:rsidP="00E73ABA">
            <w:pPr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 xml:space="preserve">(Annual Assurance)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800" w14:textId="1E60F6A5" w:rsidR="006E2975" w:rsidRPr="001B7FE0" w:rsidRDefault="006E2975" w:rsidP="00E73ABA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8A6D" w14:textId="4938C092" w:rsidR="006E2975" w:rsidRPr="001B7FE0" w:rsidRDefault="006E2975" w:rsidP="00E73ABA">
            <w:pPr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 xml:space="preserve">To provide assurance on the implementation of HR Policies annually, with a focus on different policies each year in consultation with the Director of HR&amp;OD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5ACE" w14:textId="4C12A991" w:rsidR="006E2975" w:rsidRPr="001B7FE0" w:rsidRDefault="006E2975" w:rsidP="0074351E">
            <w:pPr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Sample check across the council to ensure that HR Policies are understood and adhered to - areas of focus for 201/22 Job Evaluation and Honorariums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5732" w14:textId="3E8951C5" w:rsidR="006E2975" w:rsidRPr="001B7FE0" w:rsidRDefault="006E2975" w:rsidP="00E73ABA">
            <w:pPr>
              <w:jc w:val="center"/>
              <w:rPr>
                <w:sz w:val="20"/>
                <w:szCs w:val="20"/>
              </w:rPr>
            </w:pPr>
            <w:r w:rsidRPr="001B7FE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E224" w14:textId="57B6A04A" w:rsidR="006E2975" w:rsidRPr="001B7FE0" w:rsidRDefault="006E2975" w:rsidP="00E73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Q3/4</w:t>
            </w:r>
          </w:p>
        </w:tc>
      </w:tr>
      <w:tr w:rsidR="006E2975" w:rsidRPr="00766FE0" w14:paraId="5F8F40DC" w14:textId="64043C91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506068" w14:textId="77777777" w:rsidR="006E2975" w:rsidRPr="001B7FE0" w:rsidRDefault="006E2975" w:rsidP="00E73A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7FE0">
              <w:rPr>
                <w:b/>
                <w:sz w:val="20"/>
                <w:szCs w:val="20"/>
                <w:lang w:val="en-US"/>
              </w:rPr>
              <w:t>Corporate Risk Based/Governance Reviews</w:t>
            </w:r>
          </w:p>
        </w:tc>
      </w:tr>
      <w:tr w:rsidR="006E2975" w:rsidRPr="00766FE0" w14:paraId="17347094" w14:textId="067DCB9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11EA" w14:textId="77777777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  <w:bookmarkStart w:id="2" w:name="_Hlk136341097"/>
            <w:r w:rsidRPr="001B7FE0">
              <w:rPr>
                <w:sz w:val="20"/>
                <w:szCs w:val="20"/>
                <w:lang w:val="en-US"/>
              </w:rPr>
              <w:t>Corporate Governance</w:t>
            </w:r>
          </w:p>
          <w:p w14:paraId="5193F741" w14:textId="77777777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</w:p>
          <w:p w14:paraId="348149C3" w14:textId="77777777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</w:p>
          <w:p w14:paraId="5EF78CD0" w14:textId="77777777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</w:p>
          <w:p w14:paraId="59E1F2A2" w14:textId="77777777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</w:p>
          <w:p w14:paraId="4C262058" w14:textId="77777777" w:rsidR="006E2975" w:rsidRPr="001B7FE0" w:rsidRDefault="006E2975" w:rsidP="00E73AB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4420" w14:textId="77777777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Statutory Requirement</w:t>
            </w:r>
          </w:p>
          <w:p w14:paraId="4F310113" w14:textId="77777777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DB3B498" w14:textId="73721226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Links to CR2 - 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2940" w14:textId="77777777" w:rsidR="006E2975" w:rsidRPr="001B7FE0" w:rsidRDefault="006E2975" w:rsidP="00E73ABA">
            <w:pPr>
              <w:rPr>
                <w:i/>
                <w:sz w:val="20"/>
                <w:szCs w:val="20"/>
                <w:lang w:val="en-US"/>
              </w:rPr>
            </w:pPr>
            <w:r w:rsidRPr="001B7FE0">
              <w:rPr>
                <w:b/>
                <w:sz w:val="20"/>
                <w:szCs w:val="20"/>
                <w:lang w:val="en-US"/>
              </w:rPr>
              <w:t>Requirement under the Accounts &amp; Audit Regulations 2015:</w:t>
            </w:r>
            <w:r w:rsidRPr="001B7FE0">
              <w:rPr>
                <w:sz w:val="20"/>
                <w:szCs w:val="20"/>
                <w:lang w:val="en-US"/>
              </w:rPr>
              <w:t xml:space="preserve"> </w:t>
            </w:r>
            <w:r w:rsidRPr="001B7FE0">
              <w:rPr>
                <w:i/>
                <w:sz w:val="20"/>
                <w:szCs w:val="20"/>
                <w:lang w:val="en-US"/>
              </w:rPr>
              <w:t>A relevant authority must, each year conduct a review of the effectiveness of the system of internal control and prepare an annual governance statement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43CE" w14:textId="539AB8FF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Co-ordination of the annual review of governance, including Management Assurance, assessment against the CIPFA Financial Management Standards plus drafting of the Annual Governance Statement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2195" w14:textId="77777777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329D" w14:textId="77777777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Q1/4</w:t>
            </w:r>
          </w:p>
        </w:tc>
      </w:tr>
      <w:bookmarkEnd w:id="2"/>
      <w:tr w:rsidR="006E2975" w:rsidRPr="00766FE0" w14:paraId="7F8AB06F" w14:textId="48153F65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A30C" w14:textId="75C53ED6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Corporate Assurance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C09" w14:textId="77777777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E598" w14:textId="29008D35" w:rsidR="006E2975" w:rsidRPr="00190642" w:rsidRDefault="006E2975" w:rsidP="00E73ABA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Following on from work undertaken in 2022/23 covering the Commissioning Cycle, Risk Management, Corporate Governance and Health &amp; Safety to provide assurance on key areas of the Council as determined by the Governance Board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7F6C" w14:textId="77777777" w:rsidR="006E2975" w:rsidRDefault="006E2975" w:rsidP="00E73A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review of the following areas:</w:t>
            </w:r>
          </w:p>
          <w:p w14:paraId="6DA748E8" w14:textId="6AB5D242" w:rsidR="006E2975" w:rsidRDefault="006E2975" w:rsidP="001906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190642">
              <w:rPr>
                <w:sz w:val="20"/>
                <w:szCs w:val="20"/>
                <w:lang w:val="en-US"/>
              </w:rPr>
              <w:t>Asset Management</w:t>
            </w:r>
          </w:p>
          <w:p w14:paraId="5C501620" w14:textId="3278AD38" w:rsidR="006E2975" w:rsidRDefault="006E2975" w:rsidP="001906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Financial Management</w:t>
            </w:r>
          </w:p>
          <w:p w14:paraId="5A9A0426" w14:textId="5B97428F" w:rsidR="006E2975" w:rsidRDefault="006E2975" w:rsidP="001906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Resources</w:t>
            </w:r>
          </w:p>
          <w:p w14:paraId="54E14C81" w14:textId="18496377" w:rsidR="006E2975" w:rsidRDefault="006E2975" w:rsidP="001906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&amp; Data Management</w:t>
            </w:r>
          </w:p>
          <w:p w14:paraId="52798E04" w14:textId="52DE04D1" w:rsidR="006E2975" w:rsidRDefault="006E2975" w:rsidP="001906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Performance Management</w:t>
            </w:r>
          </w:p>
          <w:p w14:paraId="2A6BA11D" w14:textId="56994CBA" w:rsidR="006E2975" w:rsidRPr="00190642" w:rsidRDefault="006E2975" w:rsidP="001906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Programme &amp; Project Management</w:t>
            </w:r>
          </w:p>
          <w:p w14:paraId="7528C744" w14:textId="46EDD6B2" w:rsidR="006E2975" w:rsidRPr="001B7FE0" w:rsidRDefault="006E2975" w:rsidP="00E73ABA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Plus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development of action plans for work undertaken in 2022/23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6DBF" w14:textId="68AF1F3C" w:rsidR="00A5188F" w:rsidRPr="00A5188F" w:rsidRDefault="00A5188F" w:rsidP="00E73ABA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B97D0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FD8B" w14:textId="46E08EB1" w:rsidR="006E2975" w:rsidRPr="001B7FE0" w:rsidRDefault="006E2975" w:rsidP="00E73A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Q2-4</w:t>
            </w:r>
          </w:p>
        </w:tc>
      </w:tr>
      <w:tr w:rsidR="006E2975" w:rsidRPr="00766FE0" w14:paraId="7530BF70" w14:textId="713585DA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E1AB2" w14:textId="3DA9492F" w:rsidR="006E2975" w:rsidRPr="00CD57E5" w:rsidRDefault="006E2975" w:rsidP="00E73ABA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Tell Us Once/Legacy Systems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1739" w14:textId="66231BDF" w:rsidR="006E2975" w:rsidRPr="00CD57E5" w:rsidRDefault="006E2975" w:rsidP="00E73ABA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9866" w14:textId="77777777" w:rsidR="006E2975" w:rsidRDefault="006E2975" w:rsidP="00E73ABA">
            <w:pPr>
              <w:rPr>
                <w:sz w:val="20"/>
                <w:szCs w:val="20"/>
                <w:lang w:val="en-US"/>
              </w:rPr>
            </w:pPr>
            <w:r w:rsidRPr="00CD57E5">
              <w:rPr>
                <w:sz w:val="20"/>
                <w:szCs w:val="20"/>
                <w:lang w:val="en-US"/>
              </w:rPr>
              <w:t>Changes of circumstances notified to the Council are not always shared with appropriate services and this has led to overpayments and fraud.</w:t>
            </w:r>
          </w:p>
          <w:p w14:paraId="7D1EC995" w14:textId="0F06F2DC" w:rsidR="00713A33" w:rsidRPr="00CD57E5" w:rsidRDefault="00713A33" w:rsidP="00E73A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5E34" w14:textId="0403A71C" w:rsidR="006E2975" w:rsidRPr="00CD57E5" w:rsidRDefault="006E2975" w:rsidP="00E73ABA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A review to identify the barriers to information being shared across key services, Housing, Council Tax and Housing Benefits and the Tell Us Once system and an exploration of potential solutions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BB26" w14:textId="14BDB3CB" w:rsidR="006E2975" w:rsidRPr="00CD57E5" w:rsidRDefault="006E2975" w:rsidP="00E73ABA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25481" w14:textId="5E38C893" w:rsidR="006E2975" w:rsidRPr="00CD57E5" w:rsidRDefault="006E2975" w:rsidP="00E73ABA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Q3/4</w:t>
            </w:r>
          </w:p>
        </w:tc>
      </w:tr>
      <w:tr w:rsidR="006E2975" w:rsidRPr="00766FE0" w14:paraId="0C0FFB39" w14:textId="5F0757F2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0836" w14:textId="2269547C" w:rsidR="006E2975" w:rsidRPr="00CD57E5" w:rsidRDefault="006E2975" w:rsidP="00E73ABA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Financial Resilience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CF0D5" w14:textId="2DD9F1A9" w:rsidR="006E2975" w:rsidRPr="00CD57E5" w:rsidRDefault="006E2975" w:rsidP="00E73ABA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Links to CR1 - 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7B396" w14:textId="77777777" w:rsidR="006E2975" w:rsidRDefault="006E2975" w:rsidP="00E73ABA">
            <w:pPr>
              <w:rPr>
                <w:sz w:val="20"/>
                <w:szCs w:val="20"/>
                <w:lang w:val="en-US"/>
              </w:rPr>
            </w:pPr>
            <w:r w:rsidRPr="00CD57E5">
              <w:rPr>
                <w:sz w:val="20"/>
                <w:szCs w:val="20"/>
                <w:lang w:val="en-US"/>
              </w:rPr>
              <w:t xml:space="preserve">Financial Resilience is key to the authority remaining viable, stable and effective in a climate of growing demand and reduced </w:t>
            </w:r>
            <w:proofErr w:type="gramStart"/>
            <w:r w:rsidRPr="00CD57E5">
              <w:rPr>
                <w:sz w:val="20"/>
                <w:szCs w:val="20"/>
                <w:lang w:val="en-US"/>
              </w:rPr>
              <w:t>funding</w:t>
            </w:r>
            <w:proofErr w:type="gramEnd"/>
          </w:p>
          <w:p w14:paraId="1130154A" w14:textId="3DA6368E" w:rsidR="00713A33" w:rsidRPr="00CD57E5" w:rsidRDefault="00713A33" w:rsidP="00E73A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7FA9" w14:textId="08D6056C" w:rsidR="006E2975" w:rsidRPr="00CD57E5" w:rsidRDefault="006E2975" w:rsidP="00E73ABA">
            <w:pPr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Using CIPFA publication Building Financial Resilience as a guide a review of the authority’s financial resilience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7770C" w14:textId="142F9506" w:rsidR="006E2975" w:rsidRPr="00CD57E5" w:rsidRDefault="006E2975" w:rsidP="00E73ABA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EDC8D" w14:textId="5C2C04C5" w:rsidR="006E2975" w:rsidRPr="00CD57E5" w:rsidRDefault="006E2975" w:rsidP="00E73ABA">
            <w:pPr>
              <w:jc w:val="center"/>
              <w:rPr>
                <w:sz w:val="20"/>
                <w:szCs w:val="20"/>
              </w:rPr>
            </w:pPr>
            <w:r w:rsidRPr="00CD57E5">
              <w:rPr>
                <w:sz w:val="20"/>
                <w:szCs w:val="20"/>
              </w:rPr>
              <w:t>Q3/4</w:t>
            </w:r>
          </w:p>
        </w:tc>
      </w:tr>
      <w:tr w:rsidR="006E2975" w:rsidRPr="0087561C" w14:paraId="635CA349" w14:textId="373F366F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FC1273" w14:textId="77777777" w:rsidR="006E2975" w:rsidRPr="0087561C" w:rsidRDefault="006E2975" w:rsidP="00BD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Risk Based Reviews</w:t>
            </w:r>
          </w:p>
        </w:tc>
      </w:tr>
      <w:tr w:rsidR="006E2975" w:rsidRPr="00435ACD" w14:paraId="1E0CCF57" w14:textId="27F60E5C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F11BBB" w14:textId="1CC7AC42" w:rsidR="006E2975" w:rsidRPr="00CD57E5" w:rsidRDefault="00713A33" w:rsidP="00BD4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Planned</w:t>
            </w:r>
            <w:r w:rsidR="00795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CA93" w14:textId="4C24D75D" w:rsidR="006E2975" w:rsidRPr="00CD57E5" w:rsidRDefault="006E2975" w:rsidP="00B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523C6" w14:textId="2BED5D66" w:rsidR="006E2975" w:rsidRPr="00CD57E5" w:rsidRDefault="006E2975" w:rsidP="00BD4748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72B21" w14:textId="77777777" w:rsidR="00F92A1C" w:rsidRDefault="00A2123E" w:rsidP="00BD4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Covered in core financial systems &amp; governance </w:t>
            </w:r>
            <w:proofErr w:type="gramStart"/>
            <w:r>
              <w:rPr>
                <w:sz w:val="20"/>
                <w:szCs w:val="20"/>
              </w:rPr>
              <w:t>reviews</w:t>
            </w:r>
            <w:proofErr w:type="gramEnd"/>
          </w:p>
          <w:p w14:paraId="5ABA2983" w14:textId="362FBD8A" w:rsidR="006E2975" w:rsidRPr="00CD57E5" w:rsidRDefault="006E2975" w:rsidP="00BD4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7647A" w14:textId="134B5560" w:rsidR="006E2975" w:rsidRPr="00CD57E5" w:rsidRDefault="006E2975" w:rsidP="00B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66A7" w14:textId="5B88344D" w:rsidR="006E2975" w:rsidRPr="00CD57E5" w:rsidRDefault="006E2975" w:rsidP="00BD4748">
            <w:pPr>
              <w:jc w:val="center"/>
              <w:rPr>
                <w:sz w:val="20"/>
                <w:szCs w:val="20"/>
              </w:rPr>
            </w:pPr>
          </w:p>
        </w:tc>
      </w:tr>
      <w:tr w:rsidR="006E2975" w:rsidRPr="00A709CF" w14:paraId="44A3B86E" w14:textId="435D839F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7AF8B2" w14:textId="4EACE2DC" w:rsidR="006E2975" w:rsidRPr="001B7FE0" w:rsidRDefault="006E2975" w:rsidP="0087561C">
            <w:pPr>
              <w:jc w:val="center"/>
              <w:rPr>
                <w:b/>
                <w:sz w:val="20"/>
                <w:szCs w:val="20"/>
              </w:rPr>
            </w:pPr>
            <w:bookmarkStart w:id="3" w:name="_Hlk109049690"/>
            <w:r w:rsidRPr="001B7FE0">
              <w:rPr>
                <w:b/>
                <w:sz w:val="20"/>
                <w:szCs w:val="20"/>
              </w:rPr>
              <w:lastRenderedPageBreak/>
              <w:t>Place Risk Based Reviews</w:t>
            </w:r>
          </w:p>
        </w:tc>
      </w:tr>
      <w:tr w:rsidR="006E2975" w:rsidRPr="00766FE0" w14:paraId="1BDA4D7A" w14:textId="4074799A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BE90B" w14:textId="12B62AE0" w:rsidR="006E2975" w:rsidRPr="00CD57E5" w:rsidRDefault="006E2975" w:rsidP="007B0EC4">
            <w:pPr>
              <w:rPr>
                <w:iCs/>
                <w:sz w:val="20"/>
                <w:szCs w:val="20"/>
                <w:lang w:val="en-US"/>
              </w:rPr>
            </w:pPr>
            <w:bookmarkStart w:id="4" w:name="_Hlk142576267"/>
            <w:r w:rsidRPr="00CD57E5">
              <w:rPr>
                <w:iCs/>
                <w:sz w:val="20"/>
                <w:szCs w:val="20"/>
                <w:lang w:val="en-US"/>
              </w:rPr>
              <w:t>Facilities Management Statutory Compliance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3791" w14:textId="528E561F" w:rsidR="006E2975" w:rsidRPr="00CD57E5" w:rsidRDefault="006E2975" w:rsidP="00E45F4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9716" w14:textId="4486F972" w:rsidR="006E2975" w:rsidRPr="00CD57E5" w:rsidRDefault="006E2975" w:rsidP="00995A24">
            <w:pPr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 xml:space="preserve">There are </w:t>
            </w:r>
            <w:proofErr w:type="gramStart"/>
            <w:r w:rsidRPr="00CD57E5">
              <w:rPr>
                <w:iCs/>
                <w:sz w:val="20"/>
                <w:szCs w:val="20"/>
                <w:lang w:val="en-US"/>
              </w:rPr>
              <w:t>a number of</w:t>
            </w:r>
            <w:proofErr w:type="gramEnd"/>
            <w:r w:rsidRPr="00CD57E5">
              <w:rPr>
                <w:iCs/>
                <w:sz w:val="20"/>
                <w:szCs w:val="20"/>
                <w:lang w:val="en-US"/>
              </w:rPr>
              <w:t xml:space="preserve"> statutory duties that must be complied with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DF8F" w14:textId="5028B3CF" w:rsidR="006E2975" w:rsidRPr="00CD57E5" w:rsidRDefault="006E2975" w:rsidP="00E423A9">
            <w:pPr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</w:rPr>
              <w:t>A review of the processes in place to ensure that the Council’s statutory duties are met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7679" w14:textId="24262385" w:rsidR="0091365F" w:rsidRPr="0091365F" w:rsidRDefault="0091365F" w:rsidP="00A01CB7">
            <w:pPr>
              <w:jc w:val="center"/>
              <w:rPr>
                <w:iCs/>
                <w:color w:val="7030A0"/>
                <w:sz w:val="20"/>
                <w:szCs w:val="20"/>
                <w:lang w:val="en-US"/>
              </w:rPr>
            </w:pPr>
            <w:r w:rsidRPr="001821ED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ECDCF" w14:textId="683F806E" w:rsidR="006E2975" w:rsidRPr="00CD57E5" w:rsidRDefault="006E2975" w:rsidP="00A01CB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>Q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</w:tr>
      <w:tr w:rsidR="006E2975" w:rsidRPr="006B4ED5" w14:paraId="3843D452" w14:textId="2D841B4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F962EC" w14:textId="0A46129A" w:rsidR="006E2975" w:rsidRPr="00CD57E5" w:rsidRDefault="006E2975" w:rsidP="004A4E5D">
            <w:pPr>
              <w:rPr>
                <w:iCs/>
                <w:color w:val="000000"/>
                <w:sz w:val="20"/>
                <w:szCs w:val="20"/>
                <w:lang w:eastAsia="en-GB"/>
              </w:rPr>
            </w:pPr>
            <w:r w:rsidRPr="00CD57E5">
              <w:rPr>
                <w:iCs/>
                <w:color w:val="000000"/>
                <w:sz w:val="20"/>
                <w:szCs w:val="20"/>
              </w:rPr>
              <w:t>Bus Subsidy Grant</w:t>
            </w:r>
            <w:r>
              <w:rPr>
                <w:iCs/>
                <w:color w:val="000000"/>
                <w:sz w:val="20"/>
                <w:szCs w:val="20"/>
              </w:rPr>
              <w:t>*</w:t>
            </w:r>
          </w:p>
          <w:p w14:paraId="1454D438" w14:textId="77777777" w:rsidR="006E2975" w:rsidRPr="00CD57E5" w:rsidRDefault="006E2975" w:rsidP="009644E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1980" w14:textId="77777777" w:rsidR="006E2975" w:rsidRPr="00CD57E5" w:rsidRDefault="006E2975" w:rsidP="009D128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</w:rPr>
              <w:t>Statutory Requirement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4FCF8" w14:textId="77777777" w:rsidR="006E2975" w:rsidRPr="00CD57E5" w:rsidRDefault="006E2975" w:rsidP="00995A24">
            <w:pPr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>Grant condition requirement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9C26" w14:textId="77777777" w:rsidR="006E2975" w:rsidRPr="00CD57E5" w:rsidRDefault="006E2975" w:rsidP="009D128D">
            <w:pPr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>Annual HIA Certification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8206B" w14:textId="77777777" w:rsidR="006E2975" w:rsidRPr="00CD57E5" w:rsidRDefault="006E2975" w:rsidP="00A01CB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6EB5" w14:textId="77777777" w:rsidR="006E2975" w:rsidRPr="00CD57E5" w:rsidRDefault="006E2975" w:rsidP="00A01CB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D57E5">
              <w:rPr>
                <w:iCs/>
                <w:sz w:val="20"/>
                <w:szCs w:val="20"/>
                <w:lang w:val="en-US"/>
              </w:rPr>
              <w:t>Q2</w:t>
            </w:r>
          </w:p>
        </w:tc>
      </w:tr>
      <w:tr w:rsidR="006E2975" w:rsidRPr="00766FE0" w14:paraId="2440AEDB" w14:textId="7C8FF9A7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5305" w14:textId="2CBC01B1" w:rsidR="006E2975" w:rsidRPr="001B7FE0" w:rsidRDefault="006E2975" w:rsidP="009644E8">
            <w:pPr>
              <w:rPr>
                <w:iCs/>
                <w:sz w:val="20"/>
                <w:szCs w:val="20"/>
                <w:lang w:val="en-US"/>
              </w:rPr>
            </w:pPr>
            <w:r w:rsidRPr="001B7FE0">
              <w:rPr>
                <w:iCs/>
                <w:sz w:val="20"/>
                <w:szCs w:val="20"/>
                <w:lang w:val="en-US"/>
              </w:rPr>
              <w:t xml:space="preserve">HSDP/Council </w:t>
            </w:r>
            <w:r w:rsidR="00713A33">
              <w:rPr>
                <w:iCs/>
                <w:sz w:val="20"/>
                <w:szCs w:val="20"/>
                <w:lang w:val="en-US"/>
              </w:rPr>
              <w:t>O</w:t>
            </w:r>
            <w:r w:rsidRPr="001B7FE0">
              <w:rPr>
                <w:iCs/>
                <w:sz w:val="20"/>
                <w:szCs w:val="20"/>
                <w:lang w:val="en-US"/>
              </w:rPr>
              <w:t xml:space="preserve">wned </w:t>
            </w:r>
            <w:r w:rsidR="00713A33">
              <w:rPr>
                <w:iCs/>
                <w:sz w:val="20"/>
                <w:szCs w:val="20"/>
                <w:lang w:val="en-US"/>
              </w:rPr>
              <w:t>C</w:t>
            </w:r>
            <w:r w:rsidRPr="001B7FE0">
              <w:rPr>
                <w:iCs/>
                <w:sz w:val="20"/>
                <w:szCs w:val="20"/>
                <w:lang w:val="en-US"/>
              </w:rPr>
              <w:t>ompanies Governance*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9FC2" w14:textId="14B13C52" w:rsidR="006E2975" w:rsidRPr="001B7FE0" w:rsidRDefault="006E2975" w:rsidP="009D128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B7FE0">
              <w:rPr>
                <w:iCs/>
                <w:sz w:val="20"/>
                <w:szCs w:val="20"/>
                <w:lang w:val="en-US"/>
              </w:rPr>
              <w:t xml:space="preserve">CR4 – H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D779" w14:textId="006F8434" w:rsidR="006E2975" w:rsidRPr="001B7FE0" w:rsidRDefault="006E2975" w:rsidP="000A7DD3">
            <w:pPr>
              <w:rPr>
                <w:iCs/>
                <w:sz w:val="20"/>
                <w:szCs w:val="20"/>
                <w:lang w:val="en-US"/>
              </w:rPr>
            </w:pPr>
            <w:r w:rsidRPr="001B7FE0">
              <w:rPr>
                <w:iCs/>
                <w:sz w:val="20"/>
                <w:szCs w:val="20"/>
                <w:lang w:val="en-US"/>
              </w:rPr>
              <w:t xml:space="preserve">New arrangements, issues highlighted in other authorities with such arrangement, potential high risks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D42DA" w14:textId="076BB91E" w:rsidR="006E2975" w:rsidRPr="001B7FE0" w:rsidRDefault="006E2975" w:rsidP="006D24D8">
            <w:pPr>
              <w:rPr>
                <w:iCs/>
                <w:sz w:val="20"/>
                <w:szCs w:val="20"/>
                <w:lang w:val="en-US"/>
              </w:rPr>
            </w:pPr>
            <w:r w:rsidRPr="001B7FE0">
              <w:rPr>
                <w:iCs/>
                <w:sz w:val="20"/>
                <w:szCs w:val="20"/>
                <w:lang w:val="en-US"/>
              </w:rPr>
              <w:t>A review of how governance arrangements are working in practice across Council owned companies Q3/Q4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A95CF" w14:textId="5680067A" w:rsidR="00EA6503" w:rsidRPr="00EA6503" w:rsidRDefault="00EA6503" w:rsidP="00A01CB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A6503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226A0" w14:textId="7D75C557" w:rsidR="006E2975" w:rsidRPr="001B7FE0" w:rsidRDefault="006E2975" w:rsidP="00A01CB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B7FE0">
              <w:rPr>
                <w:iCs/>
                <w:sz w:val="20"/>
                <w:szCs w:val="20"/>
                <w:lang w:val="en-US"/>
              </w:rPr>
              <w:t>Q3/4</w:t>
            </w:r>
          </w:p>
        </w:tc>
      </w:tr>
      <w:tr w:rsidR="006E2975" w:rsidRPr="00766FE0" w14:paraId="39E1CD8B" w14:textId="60F204AC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46013" w14:textId="7521D6F2" w:rsidR="006E2975" w:rsidRPr="001B7FE0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Planned Housing Repairs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4A6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55CA" w14:textId="01FDDE18" w:rsidR="006E2975" w:rsidRPr="001B7FE0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complete the suit of reviews of Housing Repairs following work on Compliance and Reactive Housing Repairs undertaken in 2022/23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E5EC" w14:textId="77F2680D" w:rsidR="006E2975" w:rsidRPr="001B7FE0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To review the adequacy, </w:t>
            </w:r>
            <w:proofErr w:type="gramStart"/>
            <w:r>
              <w:rPr>
                <w:iCs/>
                <w:sz w:val="20"/>
                <w:szCs w:val="20"/>
              </w:rPr>
              <w:t>application</w:t>
            </w:r>
            <w:proofErr w:type="gramEnd"/>
            <w:r>
              <w:rPr>
                <w:iCs/>
                <w:sz w:val="20"/>
                <w:szCs w:val="20"/>
              </w:rPr>
              <w:t xml:space="preserve"> and effectiveness of controls in place to manage planned housing repairs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69C6" w14:textId="61C01DC6" w:rsidR="006E2975" w:rsidRPr="001B7FE0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59F02" w14:textId="0482EBBF" w:rsidR="006E2975" w:rsidRPr="001B7FE0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Q3</w:t>
            </w:r>
          </w:p>
        </w:tc>
      </w:tr>
      <w:tr w:rsidR="006E2975" w:rsidRPr="00766FE0" w14:paraId="0C4440A0" w14:textId="7ED6F7E9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EF9F76" w14:textId="13B2C9BC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Licensing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5742A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6AAA" w14:textId="19919EBC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High risk of fraud (back handers)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DBE4" w14:textId="0A2A6839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To review the adequacy, </w:t>
            </w:r>
            <w:proofErr w:type="gramStart"/>
            <w:r>
              <w:rPr>
                <w:iCs/>
                <w:sz w:val="20"/>
                <w:szCs w:val="20"/>
              </w:rPr>
              <w:t>application</w:t>
            </w:r>
            <w:proofErr w:type="gramEnd"/>
            <w:r>
              <w:rPr>
                <w:iCs/>
                <w:sz w:val="20"/>
                <w:szCs w:val="20"/>
              </w:rPr>
              <w:t xml:space="preserve"> and effectiveness of controls in place to manage the licencing function and to mitigate the risk of fraud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E9563" w14:textId="32B1F866" w:rsidR="00EA6503" w:rsidRPr="00713A33" w:rsidRDefault="00EA6503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13A33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F5D1" w14:textId="51BA0272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Q3</w:t>
            </w:r>
          </w:p>
        </w:tc>
      </w:tr>
      <w:tr w:rsidR="006E2975" w:rsidRPr="00766FE0" w14:paraId="2BF3A989" w14:textId="2B9CB134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7860F" w14:textId="0C0AB2F2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Aids &amp; Adaptations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EC591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1688" w14:textId="6E0B8BE7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 review of the process required following a whistleblowing investigation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247D" w14:textId="58C014F8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Review of the process plus a follow-up of whistleblowing recommendations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BBB62" w14:textId="18BF173C" w:rsidR="00EA6503" w:rsidRPr="00713A33" w:rsidRDefault="00EA6503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13A33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06EB3" w14:textId="267A5A3E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Q3</w:t>
            </w:r>
          </w:p>
        </w:tc>
      </w:tr>
      <w:tr w:rsidR="006E2975" w:rsidRPr="00766FE0" w14:paraId="560E6459" w14:textId="7DF681A1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D13142" w14:textId="5FD7135A" w:rsidR="006E2975" w:rsidRPr="001B7FE0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Highways Review 2</w:t>
            </w:r>
            <w:r w:rsidRPr="004C0014">
              <w:rPr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Cs/>
                <w:sz w:val="20"/>
                <w:szCs w:val="20"/>
              </w:rPr>
              <w:t xml:space="preserve">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AA4A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08F5A" w14:textId="331FFEFB" w:rsidR="006E2975" w:rsidRPr="001B7FE0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The first follow-up of this review demonstrated an inadequate level of implementation of recommendations due to the impending implementation of IT software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871ED" w14:textId="55DC763B" w:rsidR="006E2975" w:rsidRPr="001B7FE0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outstanding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8E3" w14:textId="5584D3D3" w:rsidR="006E2975" w:rsidRPr="001B7FE0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213F" w14:textId="378F4648" w:rsidR="006E2975" w:rsidRPr="001B7FE0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Q1</w:t>
            </w:r>
          </w:p>
        </w:tc>
      </w:tr>
      <w:tr w:rsidR="006E2975" w:rsidRPr="00766FE0" w14:paraId="305A567B" w14:textId="1A6640EB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86B673" w14:textId="615528C0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Leaseholders Service Charges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0B29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D768" w14:textId="530626F1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Follow-up of 2022/23 review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E8220" w14:textId="4CE39E00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the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2E216" w14:textId="05B096D8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4560" w14:textId="6C3D7FCA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Q2</w:t>
            </w:r>
          </w:p>
        </w:tc>
      </w:tr>
      <w:tr w:rsidR="006E2975" w:rsidRPr="00766FE0" w14:paraId="10D469E4" w14:textId="12DBF5D9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784113" w14:textId="757E230E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HMO  2</w:t>
            </w:r>
            <w:r w:rsidRPr="00FF1E4D">
              <w:rPr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Cs/>
                <w:sz w:val="20"/>
                <w:szCs w:val="20"/>
              </w:rPr>
              <w:t xml:space="preserve">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55AC2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8AD6" w14:textId="7A594C57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The first follow-up of this review demonstrated an inadequate level of implementation of recommendations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5FCB9" w14:textId="77FB63D0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outstanding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1BE6" w14:textId="3986F242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42677" w14:textId="56F19D06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Q2</w:t>
            </w:r>
          </w:p>
        </w:tc>
      </w:tr>
      <w:tr w:rsidR="006E2975" w:rsidRPr="00766FE0" w14:paraId="7218517E" w14:textId="2F8F902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A1192" w14:textId="51CD51BE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Parking </w:t>
            </w:r>
            <w:proofErr w:type="gramStart"/>
            <w:r>
              <w:rPr>
                <w:iCs/>
                <w:sz w:val="20"/>
                <w:szCs w:val="20"/>
              </w:rPr>
              <w:t>Operations  2</w:t>
            </w:r>
            <w:proofErr w:type="gramEnd"/>
            <w:r w:rsidRPr="00FF1E4D">
              <w:rPr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Cs/>
                <w:sz w:val="20"/>
                <w:szCs w:val="20"/>
              </w:rPr>
              <w:t xml:space="preserve"> Follow-up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D081" w14:textId="77777777" w:rsidR="006E2975" w:rsidRPr="001B7FE0" w:rsidRDefault="006E2975" w:rsidP="00B50A5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9CC2" w14:textId="320AC35A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The first follow-up of this review demonstrated an inadequate level of implementation of recommendations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ABA5" w14:textId="02312371" w:rsidR="006E2975" w:rsidRDefault="006E2975" w:rsidP="00B50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outstanding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ACBBC" w14:textId="09089756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6A943" w14:textId="44515226" w:rsidR="006E2975" w:rsidRDefault="006E2975" w:rsidP="00B50A5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Q2</w:t>
            </w:r>
          </w:p>
        </w:tc>
      </w:tr>
      <w:tr w:rsidR="006E2975" w:rsidRPr="00766FE0" w14:paraId="6E73DB9E" w14:textId="24B806D4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08BA5" w14:textId="4398F266" w:rsidR="006E2975" w:rsidRDefault="006E2975" w:rsidP="00AE4C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Housing Repairs Compliance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A0333" w14:textId="77777777" w:rsidR="006E2975" w:rsidRPr="001B7FE0" w:rsidRDefault="006E2975" w:rsidP="00AE4C2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6F3A" w14:textId="3F1961BA" w:rsidR="006E2975" w:rsidRDefault="006E2975" w:rsidP="00AE4C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Follow-up of 2022/23 review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EAA6" w14:textId="4BC6F3DD" w:rsidR="006E2975" w:rsidRDefault="006E2975" w:rsidP="00AE4C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the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2AF56" w14:textId="2901C46B" w:rsidR="006E2975" w:rsidRDefault="006E2975" w:rsidP="00AE4C2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1F3B" w14:textId="3B9ACC99" w:rsidR="006E2975" w:rsidRDefault="006E2975" w:rsidP="00AE4C2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Q2</w:t>
            </w:r>
          </w:p>
        </w:tc>
      </w:tr>
      <w:tr w:rsidR="006E2975" w:rsidRPr="00766FE0" w14:paraId="1C78701A" w14:textId="408EAF99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B6AFDF" w14:textId="11D24EC9" w:rsidR="006E2975" w:rsidRDefault="006E2975" w:rsidP="00AE4C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Reactive Housing </w:t>
            </w:r>
            <w:proofErr w:type="gramStart"/>
            <w:r>
              <w:rPr>
                <w:iCs/>
                <w:sz w:val="20"/>
                <w:szCs w:val="20"/>
              </w:rPr>
              <w:t>Repairs  Follow</w:t>
            </w:r>
            <w:proofErr w:type="gramEnd"/>
            <w:r>
              <w:rPr>
                <w:iCs/>
                <w:sz w:val="20"/>
                <w:szCs w:val="20"/>
              </w:rPr>
              <w:t>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5E3C4" w14:textId="77777777" w:rsidR="006E2975" w:rsidRPr="001B7FE0" w:rsidRDefault="006E2975" w:rsidP="00AE4C2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FA34E" w14:textId="06785691" w:rsidR="006E2975" w:rsidRDefault="006E2975" w:rsidP="00AE4C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Follow-up of 2022/23 review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BDA7" w14:textId="519DACFA" w:rsidR="006E2975" w:rsidRDefault="006E2975" w:rsidP="00AE4C2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the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9318" w14:textId="43D90F4B" w:rsidR="006E2975" w:rsidRDefault="006E2975" w:rsidP="00AE4C2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0159" w14:textId="69FCA78D" w:rsidR="006E2975" w:rsidRDefault="00530F37" w:rsidP="00AE4C2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Q4</w:t>
            </w:r>
          </w:p>
        </w:tc>
      </w:tr>
      <w:tr w:rsidR="006E2975" w:rsidRPr="006518B7" w14:paraId="270AFB34" w14:textId="5FD2280B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62740D" w14:textId="77777777" w:rsidR="006E2975" w:rsidRPr="001B7FE0" w:rsidRDefault="006E2975" w:rsidP="00A11037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5" w:name="_Hlk109050813"/>
            <w:bookmarkEnd w:id="3"/>
            <w:bookmarkEnd w:id="4"/>
            <w:r w:rsidRPr="001B7FE0">
              <w:rPr>
                <w:b/>
                <w:sz w:val="20"/>
                <w:szCs w:val="20"/>
                <w:lang w:val="en-US"/>
              </w:rPr>
              <w:t>People Risk Based Reviews</w:t>
            </w:r>
          </w:p>
        </w:tc>
      </w:tr>
      <w:tr w:rsidR="006E2975" w:rsidRPr="001805F9" w14:paraId="6F616B06" w14:textId="51A0B0B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C39E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  <w:bookmarkStart w:id="6" w:name="_Hlk142642168"/>
            <w:r w:rsidRPr="001B7FE0">
              <w:rPr>
                <w:sz w:val="20"/>
                <w:szCs w:val="20"/>
                <w:lang w:val="en-US"/>
              </w:rPr>
              <w:t>Schools</w:t>
            </w:r>
          </w:p>
          <w:p w14:paraId="07847A6A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</w:p>
          <w:p w14:paraId="0058EB49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</w:p>
          <w:p w14:paraId="6E46FA87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</w:p>
          <w:p w14:paraId="3405F0ED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</w:p>
          <w:p w14:paraId="62F87AE7" w14:textId="77777777" w:rsidR="006E2975" w:rsidRPr="001B7FE0" w:rsidRDefault="006E2975" w:rsidP="007B0EC4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E2B5" w14:textId="77777777" w:rsidR="006E2975" w:rsidRPr="001B7FE0" w:rsidRDefault="006E2975" w:rsidP="00E45F42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1E15" w14:textId="77777777" w:rsidR="006E2975" w:rsidRPr="001B7FE0" w:rsidRDefault="006E2975" w:rsidP="007A570B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b/>
                <w:sz w:val="20"/>
                <w:szCs w:val="20"/>
                <w:lang w:val="en-US"/>
              </w:rPr>
              <w:t>Links to Corporate Priority:</w:t>
            </w:r>
            <w:r w:rsidRPr="001B7FE0">
              <w:rPr>
                <w:sz w:val="20"/>
                <w:szCs w:val="20"/>
                <w:lang w:val="en-US"/>
              </w:rPr>
              <w:t xml:space="preserve"> Sustaining quality education and training</w:t>
            </w:r>
          </w:p>
          <w:p w14:paraId="6B03EDDC" w14:textId="77777777" w:rsidR="006E2975" w:rsidRPr="001B7FE0" w:rsidRDefault="006E2975" w:rsidP="007A570B">
            <w:pPr>
              <w:rPr>
                <w:sz w:val="20"/>
                <w:szCs w:val="20"/>
                <w:lang w:val="en-US"/>
              </w:rPr>
            </w:pPr>
          </w:p>
          <w:p w14:paraId="10C8EFC9" w14:textId="77777777" w:rsidR="006E2975" w:rsidRPr="001B7FE0" w:rsidRDefault="006E2975" w:rsidP="007A570B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 xml:space="preserve">The Council has 34 maintained schools with delegated budgets most of which are </w:t>
            </w:r>
            <w:proofErr w:type="gramStart"/>
            <w:r w:rsidRPr="001B7FE0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1B7FE0">
              <w:rPr>
                <w:sz w:val="20"/>
                <w:szCs w:val="20"/>
                <w:lang w:val="en-US"/>
              </w:rPr>
              <w:t xml:space="preserve"> £1m however schools are facing ever increasing financial pressures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6B01" w14:textId="77777777" w:rsidR="006E2975" w:rsidRDefault="006E2975" w:rsidP="004E0152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 xml:space="preserve">Reviews to be undertaken to provide assurance on Budget Management or Governance &amp; Financial Control.  Schools that decide to leave the FMS system will be considered a higher risk and will be </w:t>
            </w:r>
            <w:r w:rsidRPr="001B7FE0">
              <w:rPr>
                <w:sz w:val="20"/>
                <w:szCs w:val="20"/>
              </w:rPr>
              <w:t>prioritised</w:t>
            </w:r>
            <w:r w:rsidRPr="001B7FE0">
              <w:rPr>
                <w:sz w:val="20"/>
                <w:szCs w:val="20"/>
                <w:lang w:val="en-US"/>
              </w:rPr>
              <w:t>.</w:t>
            </w:r>
          </w:p>
          <w:p w14:paraId="096A2891" w14:textId="77777777" w:rsidR="006E2975" w:rsidRDefault="006E2975" w:rsidP="004E0152">
            <w:pPr>
              <w:rPr>
                <w:sz w:val="20"/>
                <w:szCs w:val="20"/>
                <w:lang w:val="en-US"/>
              </w:rPr>
            </w:pPr>
          </w:p>
          <w:p w14:paraId="07A3A400" w14:textId="4A90E7AA" w:rsidR="006E2975" w:rsidRPr="001B7FE0" w:rsidRDefault="006E2975" w:rsidP="004E015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include </w:t>
            </w:r>
            <w:proofErr w:type="spellStart"/>
            <w:r>
              <w:rPr>
                <w:sz w:val="20"/>
                <w:szCs w:val="20"/>
                <w:lang w:val="en-US"/>
              </w:rPr>
              <w:t>Roxeth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Primary and The Helix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D66" w14:textId="2A7C68D2" w:rsidR="00BD369E" w:rsidRPr="00713A33" w:rsidRDefault="00713A33" w:rsidP="001805F9">
            <w:pPr>
              <w:jc w:val="center"/>
              <w:rPr>
                <w:sz w:val="20"/>
                <w:szCs w:val="20"/>
                <w:lang w:val="en-US"/>
              </w:rPr>
            </w:pPr>
            <w:r w:rsidRPr="00713A3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FAC6" w14:textId="77777777" w:rsidR="006E2975" w:rsidRPr="001B7FE0" w:rsidRDefault="006E2975" w:rsidP="001805F9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Q3/4</w:t>
            </w:r>
          </w:p>
        </w:tc>
      </w:tr>
      <w:tr w:rsidR="006E2975" w:rsidRPr="00BE5C83" w14:paraId="5D97583B" w14:textId="2403EF22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2B34" w14:textId="42770E35" w:rsidR="006E2975" w:rsidRPr="00713A33" w:rsidRDefault="006E2975" w:rsidP="00CD6E46">
            <w:pPr>
              <w:rPr>
                <w:sz w:val="20"/>
                <w:szCs w:val="20"/>
              </w:rPr>
            </w:pPr>
            <w:bookmarkStart w:id="7" w:name="_Hlk136343357"/>
            <w:r w:rsidRPr="00713A33">
              <w:rPr>
                <w:sz w:val="20"/>
                <w:szCs w:val="20"/>
              </w:rPr>
              <w:t>SFVS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53E9" w14:textId="25EE1302" w:rsidR="006E2975" w:rsidRPr="00713A33" w:rsidRDefault="006E2975" w:rsidP="00CD6E46">
            <w:pPr>
              <w:tabs>
                <w:tab w:val="left" w:pos="405"/>
                <w:tab w:val="center" w:pos="656"/>
              </w:tabs>
              <w:jc w:val="center"/>
              <w:rPr>
                <w:sz w:val="20"/>
                <w:szCs w:val="20"/>
                <w:lang w:val="en-US"/>
              </w:rPr>
            </w:pPr>
            <w:r w:rsidRPr="00713A33">
              <w:rPr>
                <w:sz w:val="20"/>
                <w:szCs w:val="20"/>
                <w:lang w:val="en-US"/>
              </w:rPr>
              <w:t xml:space="preserve">Funding Requirement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2BF" w14:textId="01ACCCBE" w:rsidR="006E2975" w:rsidRPr="00713A33" w:rsidRDefault="006E2975" w:rsidP="00CD6E46">
            <w:pPr>
              <w:rPr>
                <w:b/>
                <w:sz w:val="20"/>
                <w:szCs w:val="20"/>
                <w:lang w:val="en-US"/>
              </w:rPr>
            </w:pPr>
            <w:r w:rsidRPr="00713A33">
              <w:rPr>
                <w:sz w:val="20"/>
                <w:szCs w:val="20"/>
                <w:lang w:val="en-US"/>
              </w:rPr>
              <w:t xml:space="preserve">To provide assurance to S151 Officer responsible for signing off statutory return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0206" w14:textId="5D3741D4" w:rsidR="006E2975" w:rsidRPr="00713A33" w:rsidRDefault="006E2975" w:rsidP="00CD6E46">
            <w:pPr>
              <w:rPr>
                <w:sz w:val="20"/>
                <w:szCs w:val="20"/>
                <w:lang w:val="en-US"/>
              </w:rPr>
            </w:pPr>
            <w:r w:rsidRPr="00713A33">
              <w:rPr>
                <w:sz w:val="20"/>
                <w:szCs w:val="20"/>
                <w:lang w:val="en-US"/>
              </w:rPr>
              <w:t>Review of the statutory return to the Department Education to be signed by the s151 Officer confirming the number of Schools to complete the Schools Financial Value Standard (SFVS) self-assessment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9BCF" w14:textId="491689E6" w:rsidR="006E2975" w:rsidRPr="00713A33" w:rsidRDefault="00A46ACD" w:rsidP="00CD6E46">
            <w:pPr>
              <w:jc w:val="center"/>
              <w:rPr>
                <w:sz w:val="20"/>
                <w:szCs w:val="20"/>
                <w:lang w:val="en-US"/>
              </w:rPr>
            </w:pPr>
            <w:r w:rsidRPr="00713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4950" w14:textId="3F6F6CFD" w:rsidR="006E2975" w:rsidRPr="001B7FE0" w:rsidRDefault="006E2975" w:rsidP="00CD6E46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Q1</w:t>
            </w:r>
          </w:p>
        </w:tc>
      </w:tr>
      <w:tr w:rsidR="006E2975" w:rsidRPr="006518B7" w14:paraId="1AF020DD" w14:textId="15F2A9CF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B101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  <w:r w:rsidRPr="001B7FE0">
              <w:br w:type="page"/>
            </w:r>
            <w:r w:rsidRPr="001B7FE0">
              <w:rPr>
                <w:sz w:val="20"/>
                <w:szCs w:val="20"/>
                <w:lang w:val="en-US"/>
              </w:rPr>
              <w:t xml:space="preserve">Together with Families </w:t>
            </w:r>
            <w:r w:rsidRPr="001B7FE0">
              <w:rPr>
                <w:sz w:val="20"/>
                <w:szCs w:val="20"/>
              </w:rPr>
              <w:t>Programme</w:t>
            </w:r>
            <w:r w:rsidRPr="001B7FE0">
              <w:rPr>
                <w:sz w:val="20"/>
                <w:szCs w:val="20"/>
                <w:lang w:val="en-US"/>
              </w:rPr>
              <w:t xml:space="preserve"> (Troubled Families Grant)</w:t>
            </w:r>
          </w:p>
          <w:p w14:paraId="55CA5D9E" w14:textId="77777777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496B" w14:textId="77777777" w:rsidR="006E2975" w:rsidRPr="001B7FE0" w:rsidRDefault="006E2975" w:rsidP="004E0152">
            <w:pPr>
              <w:tabs>
                <w:tab w:val="left" w:pos="405"/>
                <w:tab w:val="center" w:pos="656"/>
              </w:tabs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Grant Requirement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B719B" w14:textId="2CB16ED0" w:rsidR="006E2975" w:rsidRPr="001B7FE0" w:rsidRDefault="006E2975" w:rsidP="004E0152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b/>
                <w:sz w:val="20"/>
                <w:szCs w:val="20"/>
                <w:lang w:val="en-US"/>
              </w:rPr>
              <w:t>Links to Corporate Priority:</w:t>
            </w:r>
            <w:r w:rsidRPr="001B7FE0">
              <w:rPr>
                <w:sz w:val="20"/>
                <w:szCs w:val="20"/>
                <w:lang w:val="en-US"/>
              </w:rPr>
              <w:t xml:space="preserve"> </w:t>
            </w:r>
            <w:r w:rsidRPr="001B7FE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B7FE0">
              <w:rPr>
                <w:sz w:val="20"/>
                <w:szCs w:val="20"/>
                <w:lang w:val="en-US"/>
              </w:rPr>
              <w:t xml:space="preserve">Tackling poverty and inequality - testing by internal audit is a grant condition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F1B7" w14:textId="77777777" w:rsidR="006E2975" w:rsidRPr="001B7FE0" w:rsidRDefault="006E2975" w:rsidP="004E0152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Sample testing of claim prior to grant submission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258" w14:textId="368315A8" w:rsidR="0062728E" w:rsidRPr="0062728E" w:rsidRDefault="0091365F" w:rsidP="001805F9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397D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CCFF" w14:textId="77777777" w:rsidR="006E2975" w:rsidRPr="001B7FE0" w:rsidRDefault="006E2975" w:rsidP="001805F9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Q1-4</w:t>
            </w:r>
          </w:p>
        </w:tc>
      </w:tr>
      <w:bookmarkEnd w:id="7"/>
      <w:tr w:rsidR="006E2975" w:rsidRPr="006B4ED5" w14:paraId="2ABAF903" w14:textId="7264B358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9FD9" w14:textId="7197832D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Children Placements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0B59" w14:textId="5E4E2ACE" w:rsidR="006E2975" w:rsidRPr="001B7FE0" w:rsidRDefault="006E2975" w:rsidP="00E45F42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Links to CR5 - 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FBB1" w14:textId="06CE26CA" w:rsidR="006E2975" w:rsidRPr="001B7FE0" w:rsidRDefault="006E2975" w:rsidP="00474AE3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A high percentage of the Children Budget spent on placements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B582" w14:textId="5FDC79DE" w:rsidR="006E2975" w:rsidRPr="001B7FE0" w:rsidRDefault="006E2975" w:rsidP="00E45F42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 xml:space="preserve">A review of the adequacy, application and effectiveness of decisions and review of placements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EFCA" w14:textId="5C7B344F" w:rsidR="006E2975" w:rsidRPr="00D47B5C" w:rsidRDefault="006E2975" w:rsidP="001805F9">
            <w:pPr>
              <w:jc w:val="center"/>
              <w:rPr>
                <w:sz w:val="20"/>
                <w:szCs w:val="20"/>
                <w:lang w:val="en-US"/>
              </w:rPr>
            </w:pPr>
            <w:r w:rsidRPr="00D47B5C">
              <w:rPr>
                <w:sz w:val="20"/>
                <w:szCs w:val="20"/>
                <w:lang w:val="en-US"/>
              </w:rPr>
              <w:t>1</w:t>
            </w:r>
            <w:r w:rsidR="00530F37">
              <w:rPr>
                <w:sz w:val="20"/>
                <w:szCs w:val="20"/>
                <w:lang w:val="en-US"/>
              </w:rPr>
              <w:t>0</w:t>
            </w:r>
          </w:p>
          <w:p w14:paraId="1243E79D" w14:textId="2B52CC74" w:rsidR="00EA6503" w:rsidRPr="00EA6503" w:rsidRDefault="00EA6503" w:rsidP="001805F9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C07" w14:textId="38BFA8F3" w:rsidR="006E2975" w:rsidRPr="001B7FE0" w:rsidRDefault="006E2975" w:rsidP="001805F9">
            <w:pPr>
              <w:jc w:val="center"/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>Q3/4</w:t>
            </w:r>
          </w:p>
        </w:tc>
      </w:tr>
      <w:tr w:rsidR="006E2975" w:rsidRPr="006B4ED5" w14:paraId="71E99F03" w14:textId="0881D7B0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137E" w14:textId="04C9329A" w:rsidR="009C6AA0" w:rsidRPr="009C6AA0" w:rsidRDefault="009C6AA0" w:rsidP="00E45F42">
            <w:pPr>
              <w:rPr>
                <w:strike/>
                <w:sz w:val="20"/>
                <w:szCs w:val="20"/>
                <w:lang w:val="en-US"/>
              </w:rPr>
            </w:pPr>
            <w:r w:rsidRPr="009C6AA0">
              <w:rPr>
                <w:sz w:val="20"/>
                <w:szCs w:val="20"/>
              </w:rPr>
              <w:t xml:space="preserve">Safeguarding Team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030B" w14:textId="77777777" w:rsidR="006E2975" w:rsidRDefault="006E2975" w:rsidP="00E45F42">
            <w:pPr>
              <w:jc w:val="center"/>
              <w:rPr>
                <w:sz w:val="20"/>
                <w:szCs w:val="20"/>
                <w:lang w:val="en-US"/>
              </w:rPr>
            </w:pPr>
            <w:r w:rsidRPr="00CD57E5">
              <w:rPr>
                <w:sz w:val="20"/>
                <w:szCs w:val="20"/>
                <w:lang w:val="en-US"/>
              </w:rPr>
              <w:t>Links to CR3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B7FE0">
              <w:rPr>
                <w:sz w:val="20"/>
                <w:szCs w:val="20"/>
                <w:lang w:val="en-US"/>
              </w:rPr>
              <w:t xml:space="preserve">&amp; CR5 </w:t>
            </w:r>
            <w:r w:rsidR="009C6AA0">
              <w:rPr>
                <w:sz w:val="20"/>
                <w:szCs w:val="20"/>
                <w:lang w:val="en-US"/>
              </w:rPr>
              <w:t>–</w:t>
            </w:r>
            <w:r w:rsidRPr="001B7FE0">
              <w:rPr>
                <w:sz w:val="20"/>
                <w:szCs w:val="20"/>
                <w:lang w:val="en-US"/>
              </w:rPr>
              <w:t xml:space="preserve"> </w:t>
            </w:r>
            <w:r w:rsidRPr="00CD57E5">
              <w:rPr>
                <w:sz w:val="20"/>
                <w:szCs w:val="20"/>
                <w:lang w:val="en-US"/>
              </w:rPr>
              <w:t>H</w:t>
            </w:r>
          </w:p>
          <w:p w14:paraId="08518073" w14:textId="6DEA646B" w:rsidR="009C6AA0" w:rsidRPr="009C6AA0" w:rsidRDefault="009C6AA0" w:rsidP="00E45F4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BC23" w14:textId="77777777" w:rsidR="00B67CD0" w:rsidRPr="009C6AA0" w:rsidRDefault="00801E47" w:rsidP="00B67CD0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en-US"/>
              </w:rPr>
              <w:t>Management request</w:t>
            </w:r>
            <w:r w:rsidR="00B67CD0">
              <w:rPr>
                <w:sz w:val="20"/>
                <w:szCs w:val="20"/>
                <w:lang w:val="en-US"/>
              </w:rPr>
              <w:t xml:space="preserve">– requested by </w:t>
            </w:r>
            <w:r w:rsidR="00B67CD0" w:rsidRPr="009C6AA0">
              <w:rPr>
                <w:sz w:val="20"/>
                <w:szCs w:val="20"/>
                <w:lang w:eastAsia="en-GB"/>
              </w:rPr>
              <w:t>Santokh Dulai</w:t>
            </w:r>
          </w:p>
          <w:p w14:paraId="39B96DAE" w14:textId="12A3DD50" w:rsidR="009C6AA0" w:rsidRPr="00B67CD0" w:rsidRDefault="00B67CD0" w:rsidP="00474AE3">
            <w:pPr>
              <w:rPr>
                <w:sz w:val="20"/>
                <w:szCs w:val="20"/>
                <w:lang w:eastAsia="en-GB"/>
              </w:rPr>
            </w:pPr>
            <w:r w:rsidRPr="009C6AA0">
              <w:rPr>
                <w:sz w:val="20"/>
                <w:szCs w:val="20"/>
                <w:lang w:eastAsia="en-GB"/>
              </w:rPr>
              <w:t>Assistant Director -Specialist Learning Disabilities Care, Mental health, CYAD Services and Provider Services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8501" w14:textId="7F9AA52D" w:rsidR="009C6AA0" w:rsidRPr="009C6AA0" w:rsidRDefault="009C6AA0" w:rsidP="00B67CD0">
            <w:pPr>
              <w:rPr>
                <w:sz w:val="20"/>
                <w:szCs w:val="20"/>
                <w:lang w:val="en-US"/>
              </w:rPr>
            </w:pPr>
            <w:r w:rsidRPr="001B7FE0">
              <w:rPr>
                <w:sz w:val="20"/>
                <w:szCs w:val="20"/>
                <w:lang w:val="en-US"/>
              </w:rPr>
              <w:t xml:space="preserve">A review of the </w:t>
            </w:r>
            <w:r>
              <w:rPr>
                <w:sz w:val="20"/>
                <w:szCs w:val="20"/>
                <w:lang w:val="en-US"/>
              </w:rPr>
              <w:t xml:space="preserve">effectiveness, decision making, advice giving and offloading cases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3DBF" w14:textId="77777777" w:rsidR="006E2975" w:rsidRPr="00D47B5C" w:rsidRDefault="006E2975" w:rsidP="001805F9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D47B5C">
              <w:rPr>
                <w:sz w:val="20"/>
                <w:szCs w:val="20"/>
                <w:lang w:val="en-US"/>
              </w:rPr>
              <w:t>15</w:t>
            </w:r>
          </w:p>
          <w:p w14:paraId="4A483434" w14:textId="227A537C" w:rsidR="00EA6503" w:rsidRPr="00EA6503" w:rsidRDefault="00EA6503" w:rsidP="001805F9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9B9C" w14:textId="2BC135F0" w:rsidR="006E2975" w:rsidRPr="00CD57E5" w:rsidRDefault="006E2975" w:rsidP="001805F9">
            <w:pPr>
              <w:jc w:val="center"/>
              <w:rPr>
                <w:sz w:val="20"/>
                <w:szCs w:val="20"/>
                <w:lang w:val="en-US"/>
              </w:rPr>
            </w:pPr>
            <w:r w:rsidRPr="00CD57E5">
              <w:rPr>
                <w:sz w:val="20"/>
                <w:szCs w:val="20"/>
                <w:lang w:val="en-US"/>
              </w:rPr>
              <w:t>Q3/4</w:t>
            </w:r>
          </w:p>
        </w:tc>
      </w:tr>
      <w:bookmarkEnd w:id="5"/>
      <w:tr w:rsidR="006E2975" w:rsidRPr="006B4ED5" w14:paraId="616CE512" w14:textId="2F6916D8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57EC7F" w14:textId="084F8462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Woodlands Investigation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883AE" w14:textId="77777777" w:rsidR="006E2975" w:rsidRPr="00346F57" w:rsidRDefault="006E2975" w:rsidP="00AE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5EE2" w14:textId="2541109B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Follow-up of 2022/23 review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F88B" w14:textId="4C26C07B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the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AA77" w14:textId="6AE0121B" w:rsidR="006E2975" w:rsidRPr="00346F57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5306" w14:textId="21FAFA0A" w:rsidR="006E2975" w:rsidRPr="00346F57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Q2</w:t>
            </w:r>
          </w:p>
        </w:tc>
      </w:tr>
      <w:tr w:rsidR="006E2975" w:rsidRPr="006B4ED5" w14:paraId="23B02561" w14:textId="659134AB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B36FEC" w14:textId="1EA9249F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Cedars Manor Investigation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956F2" w14:textId="77777777" w:rsidR="006E2975" w:rsidRPr="00346F57" w:rsidRDefault="006E2975" w:rsidP="00AE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742E" w14:textId="2A1478BE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Follow-up of 2022/23 review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EE3E" w14:textId="6E68D6A1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the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78CC" w14:textId="312377E4" w:rsidR="006E2975" w:rsidRPr="00346F57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ED66" w14:textId="0C8DDC44" w:rsidR="006E2975" w:rsidRPr="00346F57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Q2</w:t>
            </w:r>
          </w:p>
        </w:tc>
      </w:tr>
      <w:tr w:rsidR="006E2975" w:rsidRPr="006B4ED5" w14:paraId="1ACE1D19" w14:textId="6F16DA8D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AABC4C" w14:textId="52DE83A6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Cedars Manor Governance &amp; Finance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7E70" w14:textId="77777777" w:rsidR="006E2975" w:rsidRPr="00346F57" w:rsidRDefault="006E2975" w:rsidP="00AE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4577" w14:textId="354FCC48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Follow-up of 2022/23 review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E913D" w14:textId="515CA984" w:rsidR="006E2975" w:rsidRPr="00346F57" w:rsidRDefault="006E2975" w:rsidP="00AE4C2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follow-up the implementation of the recommendations and provide an updated assurance rating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B50B" w14:textId="38BB36D4" w:rsidR="006E2975" w:rsidRPr="00346F57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6B" w14:textId="15561BF0" w:rsidR="006E2975" w:rsidRPr="00346F57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Q2</w:t>
            </w:r>
          </w:p>
        </w:tc>
      </w:tr>
      <w:bookmarkEnd w:id="6"/>
      <w:tr w:rsidR="00A46ACD" w:rsidRPr="006B4ED5" w14:paraId="6B946C61" w14:textId="77777777" w:rsidTr="00F92A1C">
        <w:trPr>
          <w:trHeight w:val="251"/>
        </w:trPr>
        <w:tc>
          <w:tcPr>
            <w:tcW w:w="1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0197D" w14:textId="7E0F6014" w:rsidR="00A46ACD" w:rsidRPr="00A46ACD" w:rsidRDefault="00A46ACD" w:rsidP="00AE4C2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OPERATIONAL AUDIT DAYS IN 2023/24 PLAN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AF44" w14:textId="0DC4E0A4" w:rsidR="00A46ACD" w:rsidRPr="00B6210B" w:rsidRDefault="00B6210B" w:rsidP="00AE4C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210B">
              <w:rPr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241" w14:textId="77777777" w:rsidR="00A46ACD" w:rsidRDefault="00A46ACD" w:rsidP="00AE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39F4" w:rsidRPr="006B4ED5" w14:paraId="2E55FEB8" w14:textId="77777777" w:rsidTr="00F92A1C">
        <w:trPr>
          <w:trHeight w:val="251"/>
        </w:trPr>
        <w:tc>
          <w:tcPr>
            <w:tcW w:w="1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B7FC9C" w14:textId="12929E5F" w:rsidR="00CB39F4" w:rsidRPr="000F6A12" w:rsidRDefault="00A21901" w:rsidP="00AE4C21">
            <w:pPr>
              <w:rPr>
                <w:sz w:val="20"/>
                <w:szCs w:val="20"/>
              </w:rPr>
            </w:pPr>
            <w:r w:rsidRPr="000F6A12">
              <w:rPr>
                <w:sz w:val="20"/>
                <w:szCs w:val="20"/>
              </w:rPr>
              <w:t>Contingency Allowance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A2D" w14:textId="5D391E39" w:rsidR="00CB39F4" w:rsidRPr="000F6A12" w:rsidRDefault="00B6210B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3C6" w14:textId="77777777" w:rsidR="00CB39F4" w:rsidRPr="000F6A12" w:rsidRDefault="00CB39F4" w:rsidP="00AE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2975" w:rsidRPr="000E1D15" w14:paraId="2BC1FEC4" w14:textId="4266AFB6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0EF460" w14:textId="372C8714" w:rsidR="006E2975" w:rsidRPr="00346F57" w:rsidRDefault="006E2975" w:rsidP="00AE4C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6F57">
              <w:rPr>
                <w:b/>
                <w:sz w:val="20"/>
                <w:szCs w:val="20"/>
                <w:lang w:val="en-US"/>
              </w:rPr>
              <w:t>Support</w:t>
            </w:r>
            <w:r w:rsidR="004A4F72">
              <w:rPr>
                <w:b/>
                <w:sz w:val="20"/>
                <w:szCs w:val="20"/>
                <w:lang w:val="en-US"/>
              </w:rPr>
              <w:t xml:space="preserve"> &amp;</w:t>
            </w:r>
            <w:r w:rsidRPr="00346F57">
              <w:rPr>
                <w:b/>
                <w:sz w:val="20"/>
                <w:szCs w:val="20"/>
                <w:lang w:val="en-US"/>
              </w:rPr>
              <w:t xml:space="preserve"> Advice </w:t>
            </w:r>
          </w:p>
        </w:tc>
      </w:tr>
      <w:tr w:rsidR="006E2975" w:rsidRPr="000E1D15" w14:paraId="0F4502AE" w14:textId="6F879A4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615F" w14:textId="1FB201A9" w:rsidR="006E2975" w:rsidRPr="00D47B5C" w:rsidRDefault="00A21B01" w:rsidP="00D47B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6E2975" w:rsidRPr="00D47B5C">
              <w:rPr>
                <w:sz w:val="20"/>
                <w:szCs w:val="20"/>
                <w:lang w:val="en-US"/>
              </w:rPr>
              <w:t>Professional Advice</w:t>
            </w:r>
          </w:p>
          <w:p w14:paraId="4F3F4DE1" w14:textId="77777777" w:rsidR="006E2975" w:rsidRPr="00D47B5C" w:rsidRDefault="006E2975" w:rsidP="00AE4C21">
            <w:pPr>
              <w:rPr>
                <w:sz w:val="20"/>
                <w:szCs w:val="20"/>
                <w:lang w:val="en-US"/>
              </w:rPr>
            </w:pPr>
          </w:p>
          <w:p w14:paraId="4A9B9ECF" w14:textId="77777777" w:rsidR="006E2975" w:rsidRPr="00D47B5C" w:rsidRDefault="006E2975" w:rsidP="00AE4C21">
            <w:pPr>
              <w:rPr>
                <w:sz w:val="20"/>
                <w:szCs w:val="20"/>
                <w:lang w:val="en-US"/>
              </w:rPr>
            </w:pPr>
          </w:p>
          <w:p w14:paraId="4F283E85" w14:textId="77777777" w:rsidR="006E2975" w:rsidRPr="00D47B5C" w:rsidRDefault="006E2975" w:rsidP="00AE4C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4D8E" w14:textId="77777777" w:rsidR="006E2975" w:rsidRPr="00D47B5C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  <w:r w:rsidRPr="00D47B5C">
              <w:rPr>
                <w:sz w:val="20"/>
                <w:szCs w:val="20"/>
                <w:lang w:val="en-US"/>
              </w:rPr>
              <w:t>H/M/L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273C" w14:textId="77777777" w:rsidR="006E2975" w:rsidRPr="00D47B5C" w:rsidRDefault="006E2975" w:rsidP="00AE4C21">
            <w:pPr>
              <w:rPr>
                <w:sz w:val="20"/>
                <w:szCs w:val="20"/>
                <w:lang w:val="en-US"/>
              </w:rPr>
            </w:pPr>
            <w:r w:rsidRPr="00D47B5C">
              <w:rPr>
                <w:sz w:val="20"/>
                <w:szCs w:val="20"/>
                <w:lang w:val="en-US"/>
              </w:rPr>
              <w:t>To provide a pro-active response to management requests for support and guidance on control, risk management and guidance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328" w14:textId="77777777" w:rsidR="006E2975" w:rsidRPr="00D47B5C" w:rsidRDefault="006E2975" w:rsidP="00AE4C21">
            <w:pPr>
              <w:rPr>
                <w:sz w:val="20"/>
                <w:szCs w:val="20"/>
                <w:lang w:val="en-US"/>
              </w:rPr>
            </w:pPr>
            <w:r w:rsidRPr="00D47B5C">
              <w:rPr>
                <w:sz w:val="20"/>
                <w:szCs w:val="20"/>
                <w:lang w:val="en-US"/>
              </w:rPr>
              <w:t>Advice on control, risk management and governance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80D5" w14:textId="06BD7AB9" w:rsidR="006E2975" w:rsidRPr="00D47B5C" w:rsidRDefault="006E2975" w:rsidP="00AE4C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5A47" w14:textId="6E48C8BF" w:rsidR="006E2975" w:rsidRPr="00346F57" w:rsidRDefault="008B45B4" w:rsidP="00AE4C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Q1-4</w:t>
            </w:r>
          </w:p>
        </w:tc>
      </w:tr>
      <w:tr w:rsidR="00707802" w:rsidRPr="000E1D15" w14:paraId="0211FEC0" w14:textId="2D86865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9A8F" w14:textId="0AF68212" w:rsidR="00707802" w:rsidRPr="00346F57" w:rsidRDefault="00A21B01" w:rsidP="00707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707802" w:rsidRPr="0015507F">
              <w:rPr>
                <w:sz w:val="20"/>
                <w:szCs w:val="20"/>
                <w:lang w:val="en-US"/>
              </w:rPr>
              <w:t>Irregularity/whistleblowing Reviews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361E" w14:textId="51C7BDFD" w:rsidR="00707802" w:rsidRPr="00346F57" w:rsidRDefault="00707802" w:rsidP="00707802">
            <w:pPr>
              <w:jc w:val="center"/>
              <w:rPr>
                <w:sz w:val="20"/>
                <w:szCs w:val="20"/>
                <w:lang w:val="en-US"/>
              </w:rPr>
            </w:pPr>
            <w:r w:rsidRPr="0015507F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FF264" w14:textId="3519B139" w:rsidR="00707802" w:rsidRPr="00346F57" w:rsidRDefault="00707802" w:rsidP="00707802">
            <w:pPr>
              <w:rPr>
                <w:sz w:val="20"/>
                <w:szCs w:val="20"/>
                <w:lang w:val="en-US"/>
              </w:rPr>
            </w:pPr>
            <w:r w:rsidRPr="0015507F">
              <w:rPr>
                <w:sz w:val="20"/>
                <w:szCs w:val="20"/>
                <w:lang w:val="en-US"/>
              </w:rPr>
              <w:t>To provide a pro-active response to irregularity and/or whistleblowing allegations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8EAB" w14:textId="77777777" w:rsidR="00707802" w:rsidRPr="0015507F" w:rsidRDefault="00707802" w:rsidP="00707802">
            <w:pPr>
              <w:rPr>
                <w:sz w:val="20"/>
                <w:szCs w:val="20"/>
                <w:lang w:val="en-US"/>
              </w:rPr>
            </w:pPr>
            <w:r w:rsidRPr="0015507F">
              <w:rPr>
                <w:sz w:val="20"/>
                <w:szCs w:val="20"/>
                <w:lang w:val="en-US"/>
              </w:rPr>
              <w:t xml:space="preserve">Review of allegations to support </w:t>
            </w:r>
            <w:proofErr w:type="gramStart"/>
            <w:r w:rsidRPr="0015507F">
              <w:rPr>
                <w:sz w:val="20"/>
                <w:szCs w:val="20"/>
                <w:lang w:val="en-US"/>
              </w:rPr>
              <w:t>management</w:t>
            </w:r>
            <w:proofErr w:type="gramEnd"/>
          </w:p>
          <w:p w14:paraId="53330E9C" w14:textId="77777777" w:rsidR="00707802" w:rsidRPr="0015507F" w:rsidRDefault="00707802" w:rsidP="00707802">
            <w:pPr>
              <w:rPr>
                <w:sz w:val="20"/>
                <w:szCs w:val="20"/>
                <w:lang w:val="en-US"/>
              </w:rPr>
            </w:pPr>
          </w:p>
          <w:p w14:paraId="4A92C9D5" w14:textId="35B0B7D7" w:rsidR="00707802" w:rsidRPr="00346F57" w:rsidRDefault="00707802" w:rsidP="007078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D29B" w14:textId="68C4645D" w:rsidR="00707802" w:rsidRPr="00346F57" w:rsidRDefault="00707802" w:rsidP="007078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8989" w14:textId="741FF47C" w:rsidR="00707802" w:rsidRPr="00346F57" w:rsidRDefault="00707802" w:rsidP="00707802">
            <w:pPr>
              <w:jc w:val="center"/>
              <w:rPr>
                <w:sz w:val="20"/>
                <w:szCs w:val="20"/>
                <w:lang w:val="en-US"/>
              </w:rPr>
            </w:pPr>
            <w:r w:rsidRPr="00346F57">
              <w:rPr>
                <w:sz w:val="20"/>
                <w:szCs w:val="20"/>
                <w:lang w:val="en-US"/>
              </w:rPr>
              <w:t>Q1-4</w:t>
            </w:r>
          </w:p>
        </w:tc>
      </w:tr>
      <w:tr w:rsidR="00707802" w:rsidRPr="000E1D15" w14:paraId="34227C94" w14:textId="7DB7DC6E" w:rsidTr="00F92A1C">
        <w:trPr>
          <w:trHeight w:val="2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B463" w14:textId="51DC7686" w:rsidR="00707802" w:rsidRPr="00346F57" w:rsidRDefault="00707802" w:rsidP="00707802">
            <w:pPr>
              <w:rPr>
                <w:sz w:val="20"/>
                <w:szCs w:val="20"/>
                <w:lang w:val="en-US"/>
              </w:rPr>
            </w:pPr>
            <w:r w:rsidRPr="00346F57">
              <w:rPr>
                <w:sz w:val="20"/>
                <w:szCs w:val="20"/>
                <w:lang w:val="en-US"/>
              </w:rPr>
              <w:t>Grants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0413" w14:textId="0BFB4310" w:rsidR="00707802" w:rsidRPr="00346F57" w:rsidRDefault="00707802" w:rsidP="00707802">
            <w:pPr>
              <w:jc w:val="center"/>
              <w:rPr>
                <w:sz w:val="20"/>
                <w:szCs w:val="20"/>
                <w:lang w:val="en-US"/>
              </w:rPr>
            </w:pPr>
            <w:r w:rsidRPr="00346F57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F2AC" w14:textId="5EBE97A8" w:rsidR="00707802" w:rsidRPr="00346F57" w:rsidRDefault="00707802" w:rsidP="00707802">
            <w:pPr>
              <w:rPr>
                <w:sz w:val="20"/>
                <w:szCs w:val="20"/>
                <w:lang w:val="en-US"/>
              </w:rPr>
            </w:pPr>
            <w:r w:rsidRPr="00346F57">
              <w:rPr>
                <w:sz w:val="20"/>
                <w:szCs w:val="20"/>
                <w:lang w:val="en-US"/>
              </w:rPr>
              <w:t>Certain government grants require HIA sign-off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F4E0" w14:textId="4A2F2E36" w:rsidR="00707802" w:rsidRDefault="00707802" w:rsidP="00707802">
            <w:pPr>
              <w:rPr>
                <w:sz w:val="20"/>
                <w:szCs w:val="20"/>
                <w:lang w:val="en-US"/>
              </w:rPr>
            </w:pPr>
            <w:r w:rsidRPr="00346F57">
              <w:rPr>
                <w:sz w:val="20"/>
                <w:szCs w:val="20"/>
                <w:lang w:val="en-US"/>
              </w:rPr>
              <w:t>Where required sample testing to confirm grant conditions have been met before sign-</w:t>
            </w:r>
            <w:r>
              <w:rPr>
                <w:sz w:val="20"/>
                <w:szCs w:val="20"/>
                <w:lang w:val="en-US"/>
              </w:rPr>
              <w:t>o</w:t>
            </w:r>
            <w:r w:rsidRPr="00346F57">
              <w:rPr>
                <w:sz w:val="20"/>
                <w:szCs w:val="20"/>
                <w:lang w:val="en-US"/>
              </w:rPr>
              <w:t>ff by the HIA and Chief Executive</w:t>
            </w:r>
          </w:p>
          <w:p w14:paraId="4E59C991" w14:textId="66CBE105" w:rsidR="00707802" w:rsidRDefault="00707802" w:rsidP="007078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Comf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r w:rsidR="00812871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ontain outbreak management fund)</w:t>
            </w:r>
          </w:p>
          <w:p w14:paraId="69825293" w14:textId="5E22F5A7" w:rsidR="00707802" w:rsidRPr="00346F57" w:rsidRDefault="00707802" w:rsidP="00707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CRF (cultural recovery fund)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C40B" w14:textId="45932E04" w:rsidR="00707802" w:rsidRPr="00346F57" w:rsidRDefault="00707802" w:rsidP="007078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BDA" w14:textId="7ECAD386" w:rsidR="00707802" w:rsidRPr="00346F57" w:rsidRDefault="00707802" w:rsidP="00707802">
            <w:pPr>
              <w:jc w:val="center"/>
              <w:rPr>
                <w:sz w:val="20"/>
                <w:szCs w:val="20"/>
                <w:lang w:val="en-US"/>
              </w:rPr>
            </w:pPr>
            <w:r w:rsidRPr="00346F57">
              <w:rPr>
                <w:sz w:val="20"/>
                <w:szCs w:val="20"/>
                <w:lang w:val="en-US"/>
              </w:rPr>
              <w:t>Q1-4</w:t>
            </w:r>
          </w:p>
        </w:tc>
      </w:tr>
      <w:tr w:rsidR="00707802" w:rsidRPr="000E1D15" w14:paraId="0CA5FB88" w14:textId="46AD7B7C" w:rsidTr="00F92A1C">
        <w:trPr>
          <w:trHeight w:val="251"/>
        </w:trPr>
        <w:tc>
          <w:tcPr>
            <w:tcW w:w="1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766C526" w14:textId="207DD0CB" w:rsidR="00707802" w:rsidRDefault="00707802" w:rsidP="007078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TOTAL DAYS IN 2023/24 PLAN                                                                                                                                                                    </w:t>
            </w:r>
            <w:r w:rsidRPr="005E74AC">
              <w:rPr>
                <w:b/>
                <w:sz w:val="20"/>
                <w:szCs w:val="20"/>
                <w:lang w:val="en-US"/>
              </w:rPr>
              <w:t xml:space="preserve">  </w:t>
            </w:r>
            <w:r w:rsidR="00F92A1C" w:rsidRPr="005E74AC">
              <w:rPr>
                <w:b/>
                <w:sz w:val="20"/>
                <w:szCs w:val="20"/>
                <w:lang w:val="en-US"/>
              </w:rPr>
              <w:t xml:space="preserve"> </w:t>
            </w:r>
            <w:r w:rsidR="002C025C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E74AC" w:rsidRPr="005E74AC">
              <w:rPr>
                <w:b/>
                <w:sz w:val="20"/>
                <w:szCs w:val="20"/>
                <w:lang w:val="en-US"/>
              </w:rPr>
              <w:t>336</w:t>
            </w:r>
          </w:p>
        </w:tc>
      </w:tr>
    </w:tbl>
    <w:p w14:paraId="3A0DE506" w14:textId="049381B3" w:rsidR="003C5973" w:rsidRPr="002B11E5" w:rsidRDefault="00FC3A07" w:rsidP="00FC3A0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21B01" w:rsidRPr="002B11E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114598">
        <w:rPr>
          <w:sz w:val="18"/>
          <w:szCs w:val="18"/>
        </w:rPr>
        <w:t xml:space="preserve">Management support </w:t>
      </w:r>
      <w:r w:rsidR="0082281A">
        <w:rPr>
          <w:sz w:val="18"/>
          <w:szCs w:val="18"/>
        </w:rPr>
        <w:t>from</w:t>
      </w:r>
      <w:r w:rsidR="00A21B01" w:rsidRPr="002B11E5">
        <w:rPr>
          <w:sz w:val="18"/>
          <w:szCs w:val="18"/>
        </w:rPr>
        <w:t xml:space="preserve"> HIA </w:t>
      </w:r>
      <w:r w:rsidR="002B11E5">
        <w:rPr>
          <w:sz w:val="18"/>
          <w:szCs w:val="18"/>
        </w:rPr>
        <w:t>time which is not included in the operational plan</w:t>
      </w:r>
    </w:p>
    <w:p w14:paraId="2BD69ADE" w14:textId="77777777" w:rsidR="003C5973" w:rsidRDefault="003C5973"/>
    <w:tbl>
      <w:tblPr>
        <w:tblW w:w="117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0307"/>
        <w:gridCol w:w="992"/>
      </w:tblGrid>
      <w:tr w:rsidR="00E41E4F" w:rsidRPr="00FB7AF2" w14:paraId="782AD43F" w14:textId="77777777" w:rsidTr="00013629">
        <w:trPr>
          <w:trHeight w:val="275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6A6A6"/>
            <w:noWrap/>
          </w:tcPr>
          <w:p w14:paraId="5AFF3B84" w14:textId="77777777" w:rsidR="00E41E4F" w:rsidRPr="00FB7AF2" w:rsidRDefault="00E41E4F" w:rsidP="00E45F42">
            <w:pPr>
              <w:rPr>
                <w:b/>
                <w:bCs/>
                <w:color w:val="000000"/>
                <w:lang w:val="en-US"/>
              </w:rPr>
            </w:pPr>
            <w:r>
              <w:br w:type="page"/>
            </w:r>
          </w:p>
        </w:tc>
        <w:tc>
          <w:tcPr>
            <w:tcW w:w="10307" w:type="dxa"/>
            <w:tcBorders>
              <w:bottom w:val="single" w:sz="4" w:space="0" w:color="auto"/>
            </w:tcBorders>
            <w:shd w:val="clear" w:color="auto" w:fill="A6A6A6"/>
          </w:tcPr>
          <w:p w14:paraId="0C9B19B6" w14:textId="39AFFAE2" w:rsidR="00E41E4F" w:rsidRPr="00FB7AF2" w:rsidRDefault="00E41E4F" w:rsidP="00E41E4F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Internal Audit </w:t>
            </w:r>
            <w:r w:rsidRPr="00FB7AF2">
              <w:rPr>
                <w:b/>
                <w:bCs/>
                <w:color w:val="000000"/>
                <w:lang w:val="en-US"/>
              </w:rPr>
              <w:t>Performance Indicator</w:t>
            </w:r>
            <w:r>
              <w:rPr>
                <w:b/>
                <w:bCs/>
                <w:color w:val="000000"/>
                <w:lang w:val="en-US"/>
              </w:rPr>
              <w:t xml:space="preserve"> 20</w:t>
            </w:r>
            <w:r w:rsidR="0069525B">
              <w:rPr>
                <w:b/>
                <w:bCs/>
                <w:color w:val="000000"/>
                <w:lang w:val="en-US"/>
              </w:rPr>
              <w:t>2</w:t>
            </w:r>
            <w:r w:rsidR="009721C4">
              <w:rPr>
                <w:b/>
                <w:bCs/>
                <w:color w:val="000000"/>
                <w:lang w:val="en-US"/>
              </w:rPr>
              <w:t>2</w:t>
            </w:r>
            <w:r w:rsidR="0069525B">
              <w:rPr>
                <w:b/>
                <w:bCs/>
                <w:color w:val="000000"/>
                <w:lang w:val="en-US"/>
              </w:rPr>
              <w:t>/2</w:t>
            </w:r>
            <w:r w:rsidR="009721C4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</w:tcPr>
          <w:p w14:paraId="35361E07" w14:textId="77777777" w:rsidR="00E41E4F" w:rsidRPr="00FB7AF2" w:rsidRDefault="00E41E4F" w:rsidP="00E45F42">
            <w:pPr>
              <w:rPr>
                <w:b/>
                <w:bCs/>
                <w:color w:val="000000"/>
                <w:lang w:val="en-US"/>
              </w:rPr>
            </w:pPr>
            <w:r w:rsidRPr="00FB7AF2">
              <w:rPr>
                <w:b/>
                <w:bCs/>
                <w:color w:val="000000"/>
                <w:lang w:val="en-US"/>
              </w:rPr>
              <w:t>Target</w:t>
            </w:r>
          </w:p>
        </w:tc>
      </w:tr>
      <w:tr w:rsidR="00E41E4F" w:rsidRPr="00FB7AF2" w14:paraId="06FF5858" w14:textId="77777777" w:rsidTr="00013629">
        <w:trPr>
          <w:trHeight w:val="166"/>
        </w:trPr>
        <w:tc>
          <w:tcPr>
            <w:tcW w:w="439" w:type="dxa"/>
            <w:shd w:val="clear" w:color="auto" w:fill="auto"/>
          </w:tcPr>
          <w:p w14:paraId="1E1D6FB2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1</w:t>
            </w:r>
          </w:p>
        </w:tc>
        <w:tc>
          <w:tcPr>
            <w:tcW w:w="10307" w:type="dxa"/>
          </w:tcPr>
          <w:p w14:paraId="6A52CE69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Recommendations agreed for implementation</w:t>
            </w:r>
          </w:p>
        </w:tc>
        <w:tc>
          <w:tcPr>
            <w:tcW w:w="992" w:type="dxa"/>
          </w:tcPr>
          <w:p w14:paraId="05C58EAE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95%</w:t>
            </w:r>
          </w:p>
        </w:tc>
      </w:tr>
      <w:tr w:rsidR="00E41E4F" w:rsidRPr="00FB7AF2" w14:paraId="02A8FF23" w14:textId="77777777" w:rsidTr="00013629">
        <w:trPr>
          <w:trHeight w:val="166"/>
        </w:trPr>
        <w:tc>
          <w:tcPr>
            <w:tcW w:w="439" w:type="dxa"/>
            <w:shd w:val="clear" w:color="auto" w:fill="auto"/>
          </w:tcPr>
          <w:p w14:paraId="0CECE51D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2</w:t>
            </w:r>
          </w:p>
        </w:tc>
        <w:tc>
          <w:tcPr>
            <w:tcW w:w="10307" w:type="dxa"/>
          </w:tcPr>
          <w:p w14:paraId="771E4566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Follow up undertaken</w:t>
            </w:r>
            <w:r w:rsidR="00F358E3">
              <w:rPr>
                <w:color w:val="000000"/>
              </w:rPr>
              <w:t xml:space="preserve"> – red and red/amber assurance reviews</w:t>
            </w:r>
          </w:p>
        </w:tc>
        <w:tc>
          <w:tcPr>
            <w:tcW w:w="992" w:type="dxa"/>
          </w:tcPr>
          <w:p w14:paraId="5F595F47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100%</w:t>
            </w:r>
          </w:p>
        </w:tc>
      </w:tr>
      <w:tr w:rsidR="00F358E3" w:rsidRPr="00FB7AF2" w14:paraId="5FB0A5DF" w14:textId="77777777" w:rsidTr="00013629">
        <w:trPr>
          <w:trHeight w:val="166"/>
        </w:trPr>
        <w:tc>
          <w:tcPr>
            <w:tcW w:w="439" w:type="dxa"/>
            <w:shd w:val="clear" w:color="auto" w:fill="auto"/>
          </w:tcPr>
          <w:p w14:paraId="28509B1D" w14:textId="77777777" w:rsidR="00F358E3" w:rsidRPr="00FB7AF2" w:rsidRDefault="00F358E3" w:rsidP="00E45F4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7" w:type="dxa"/>
          </w:tcPr>
          <w:p w14:paraId="375B6042" w14:textId="77777777" w:rsidR="00F358E3" w:rsidRPr="00FB7AF2" w:rsidRDefault="00F358E3" w:rsidP="00E45F42">
            <w:pPr>
              <w:rPr>
                <w:color w:val="000000"/>
              </w:rPr>
            </w:pPr>
            <w:r>
              <w:rPr>
                <w:color w:val="000000"/>
              </w:rPr>
              <w:t>Follow-up undertaken – amber assurance reviews</w:t>
            </w:r>
          </w:p>
        </w:tc>
        <w:tc>
          <w:tcPr>
            <w:tcW w:w="992" w:type="dxa"/>
          </w:tcPr>
          <w:p w14:paraId="4788A1B6" w14:textId="77777777" w:rsidR="00F358E3" w:rsidRPr="00FB7AF2" w:rsidRDefault="00F358E3" w:rsidP="00E45F42">
            <w:pPr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E41E4F" w:rsidRPr="00FB7AF2" w14:paraId="748F22A1" w14:textId="77777777" w:rsidTr="00013629">
        <w:trPr>
          <w:trHeight w:val="166"/>
        </w:trPr>
        <w:tc>
          <w:tcPr>
            <w:tcW w:w="439" w:type="dxa"/>
            <w:shd w:val="clear" w:color="auto" w:fill="auto"/>
          </w:tcPr>
          <w:p w14:paraId="16D8454A" w14:textId="77777777" w:rsidR="00E41E4F" w:rsidRPr="00FB7AF2" w:rsidRDefault="00F358E3" w:rsidP="00E45F4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07" w:type="dxa"/>
          </w:tcPr>
          <w:p w14:paraId="01E6E33B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Plan achieved for key control reviews</w:t>
            </w:r>
          </w:p>
        </w:tc>
        <w:tc>
          <w:tcPr>
            <w:tcW w:w="992" w:type="dxa"/>
          </w:tcPr>
          <w:p w14:paraId="11A7FC85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100%</w:t>
            </w:r>
          </w:p>
        </w:tc>
      </w:tr>
      <w:tr w:rsidR="00E41E4F" w:rsidRPr="00FB7AF2" w14:paraId="246C32B3" w14:textId="77777777" w:rsidTr="00013629">
        <w:trPr>
          <w:trHeight w:val="166"/>
        </w:trPr>
        <w:tc>
          <w:tcPr>
            <w:tcW w:w="439" w:type="dxa"/>
            <w:shd w:val="clear" w:color="auto" w:fill="auto"/>
          </w:tcPr>
          <w:p w14:paraId="323060B1" w14:textId="77777777" w:rsidR="00E41E4F" w:rsidRPr="00FB7AF2" w:rsidRDefault="00F358E3" w:rsidP="00E45F4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07" w:type="dxa"/>
          </w:tcPr>
          <w:p w14:paraId="04FA36DA" w14:textId="77777777" w:rsidR="00E41E4F" w:rsidRPr="00FB7AF2" w:rsidRDefault="00E41E4F" w:rsidP="00E45F42">
            <w:pPr>
              <w:rPr>
                <w:color w:val="000000"/>
              </w:rPr>
            </w:pPr>
            <w:r w:rsidRPr="00FB7AF2">
              <w:rPr>
                <w:color w:val="000000"/>
              </w:rPr>
              <w:t>Plan achieved overall (key indicator)</w:t>
            </w:r>
          </w:p>
        </w:tc>
        <w:tc>
          <w:tcPr>
            <w:tcW w:w="992" w:type="dxa"/>
          </w:tcPr>
          <w:p w14:paraId="0E1706CA" w14:textId="77777777" w:rsidR="00E41E4F" w:rsidRPr="00FB7AF2" w:rsidRDefault="00E41E4F" w:rsidP="00E45F4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FB7AF2">
              <w:rPr>
                <w:color w:val="000000"/>
              </w:rPr>
              <w:t>%</w:t>
            </w:r>
          </w:p>
        </w:tc>
      </w:tr>
      <w:tr w:rsidR="00E41E4F" w:rsidRPr="003B7A60" w14:paraId="6107789B" w14:textId="77777777" w:rsidTr="00013629">
        <w:trPr>
          <w:trHeight w:val="436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6A6A6"/>
            <w:noWrap/>
          </w:tcPr>
          <w:p w14:paraId="65E1C329" w14:textId="77777777" w:rsidR="00E41E4F" w:rsidRPr="003B7A60" w:rsidRDefault="00E41E4F" w:rsidP="00E45F4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7" w:type="dxa"/>
            <w:tcBorders>
              <w:bottom w:val="single" w:sz="4" w:space="0" w:color="auto"/>
            </w:tcBorders>
            <w:shd w:val="clear" w:color="auto" w:fill="A6A6A6"/>
          </w:tcPr>
          <w:p w14:paraId="2108D656" w14:textId="77777777" w:rsidR="00E41E4F" w:rsidRPr="003B7A60" w:rsidRDefault="00E41E4F" w:rsidP="00E45F4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Corporate </w:t>
            </w:r>
            <w:r w:rsidRPr="003B7A60">
              <w:rPr>
                <w:b/>
                <w:bCs/>
                <w:color w:val="000000"/>
                <w:lang w:val="en-US"/>
              </w:rPr>
              <w:t>Performance Indicator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</w:tcPr>
          <w:p w14:paraId="6B135DEF" w14:textId="77777777" w:rsidR="00E41E4F" w:rsidRPr="003B7A60" w:rsidRDefault="00E41E4F" w:rsidP="00E45F42">
            <w:pPr>
              <w:rPr>
                <w:b/>
                <w:bCs/>
                <w:color w:val="000000"/>
                <w:lang w:val="en-US"/>
              </w:rPr>
            </w:pPr>
            <w:r w:rsidRPr="003B7A60">
              <w:rPr>
                <w:b/>
                <w:bCs/>
                <w:color w:val="000000"/>
                <w:lang w:val="en-US"/>
              </w:rPr>
              <w:t>Target</w:t>
            </w:r>
          </w:p>
        </w:tc>
      </w:tr>
      <w:tr w:rsidR="00E41E4F" w:rsidRPr="003B7A60" w14:paraId="49F6F90B" w14:textId="77777777" w:rsidTr="00013629">
        <w:trPr>
          <w:trHeight w:val="166"/>
        </w:trPr>
        <w:tc>
          <w:tcPr>
            <w:tcW w:w="439" w:type="dxa"/>
            <w:shd w:val="clear" w:color="auto" w:fill="auto"/>
          </w:tcPr>
          <w:p w14:paraId="76AAC9F7" w14:textId="77777777" w:rsidR="00E41E4F" w:rsidRPr="003B7A60" w:rsidRDefault="00E41E4F" w:rsidP="00E45F42">
            <w:pPr>
              <w:rPr>
                <w:color w:val="000000"/>
              </w:rPr>
            </w:pPr>
            <w:r w:rsidRPr="003B7A60">
              <w:rPr>
                <w:color w:val="000000"/>
              </w:rPr>
              <w:t>1</w:t>
            </w:r>
          </w:p>
        </w:tc>
        <w:tc>
          <w:tcPr>
            <w:tcW w:w="10307" w:type="dxa"/>
          </w:tcPr>
          <w:p w14:paraId="11130C02" w14:textId="77777777" w:rsidR="00E41E4F" w:rsidRPr="003B7A60" w:rsidRDefault="00E41E4F" w:rsidP="00E45F42">
            <w:pPr>
              <w:rPr>
                <w:color w:val="000000"/>
              </w:rPr>
            </w:pPr>
            <w:r w:rsidRPr="003B7A60">
              <w:rPr>
                <w:color w:val="000000"/>
              </w:rPr>
              <w:t>Implementation of recommendations</w:t>
            </w:r>
          </w:p>
        </w:tc>
        <w:tc>
          <w:tcPr>
            <w:tcW w:w="992" w:type="dxa"/>
          </w:tcPr>
          <w:p w14:paraId="22C06532" w14:textId="77777777" w:rsidR="00E41E4F" w:rsidRPr="003B7A60" w:rsidRDefault="00E41E4F" w:rsidP="00E45F42">
            <w:pPr>
              <w:rPr>
                <w:color w:val="000000"/>
              </w:rPr>
            </w:pPr>
            <w:r w:rsidRPr="003B7A60">
              <w:rPr>
                <w:color w:val="000000"/>
              </w:rPr>
              <w:t>90%</w:t>
            </w:r>
          </w:p>
        </w:tc>
      </w:tr>
    </w:tbl>
    <w:p w14:paraId="22BCF895" w14:textId="77777777" w:rsidR="007B7BAC" w:rsidRDefault="007B7BAC"/>
    <w:p w14:paraId="050F9CD6" w14:textId="7504AD37" w:rsidR="004330BF" w:rsidRDefault="004330BF" w:rsidP="008673D4">
      <w:pPr>
        <w:rPr>
          <w:bCs/>
          <w:sz w:val="20"/>
          <w:szCs w:val="20"/>
          <w:lang w:val="en-US"/>
        </w:rPr>
      </w:pPr>
    </w:p>
    <w:sectPr w:rsidR="004330BF" w:rsidSect="0023525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D329" w14:textId="77777777" w:rsidR="005072FC" w:rsidRDefault="005072FC" w:rsidP="0023525F">
      <w:r>
        <w:separator/>
      </w:r>
    </w:p>
  </w:endnote>
  <w:endnote w:type="continuationSeparator" w:id="0">
    <w:p w14:paraId="261F9F06" w14:textId="77777777" w:rsidR="005072FC" w:rsidRDefault="005072FC" w:rsidP="0023525F">
      <w:r>
        <w:continuationSeparator/>
      </w:r>
    </w:p>
  </w:endnote>
  <w:endnote w:type="continuationNotice" w:id="1">
    <w:p w14:paraId="5ECC4AA1" w14:textId="77777777" w:rsidR="005072FC" w:rsidRDefault="00507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82153"/>
      <w:docPartObj>
        <w:docPartGallery w:val="Page Numbers (Bottom of Page)"/>
        <w:docPartUnique/>
      </w:docPartObj>
    </w:sdtPr>
    <w:sdtEndPr/>
    <w:sdtContent>
      <w:p w14:paraId="17E25EC0" w14:textId="3B5B2200" w:rsidR="008673D4" w:rsidRDefault="008673D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35D1E9" w14:textId="77777777" w:rsidR="008673D4" w:rsidRDefault="0086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3A2D" w14:textId="77777777" w:rsidR="005072FC" w:rsidRDefault="005072FC" w:rsidP="0023525F">
      <w:r>
        <w:separator/>
      </w:r>
    </w:p>
  </w:footnote>
  <w:footnote w:type="continuationSeparator" w:id="0">
    <w:p w14:paraId="7CA5EFD3" w14:textId="77777777" w:rsidR="005072FC" w:rsidRDefault="005072FC" w:rsidP="0023525F">
      <w:r>
        <w:continuationSeparator/>
      </w:r>
    </w:p>
  </w:footnote>
  <w:footnote w:type="continuationNotice" w:id="1">
    <w:p w14:paraId="4C251E33" w14:textId="77777777" w:rsidR="005072FC" w:rsidRDefault="005072FC"/>
  </w:footnote>
  <w:footnote w:id="2">
    <w:p w14:paraId="7BF2776F" w14:textId="25036203" w:rsidR="006E2975" w:rsidRDefault="006E2975" w:rsidP="0023525F">
      <w:pPr>
        <w:pStyle w:val="FootnoteText"/>
      </w:pPr>
      <w:r>
        <w:rPr>
          <w:rStyle w:val="FootnoteReference"/>
        </w:rPr>
        <w:footnoteRef/>
      </w:r>
      <w:r>
        <w:t xml:space="preserve"> Wherever possible risk ratings are taken from the Corporate </w:t>
      </w:r>
      <w:r w:rsidR="001033BD">
        <w:t>Risk Register</w:t>
      </w:r>
      <w:r w:rsidR="00316FB6">
        <w:t xml:space="preserve"> (indicated as CR)</w:t>
      </w:r>
      <w:r>
        <w:t xml:space="preserve">, an audit risk assessment is undertaken for all other reviews.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8C2E" w14:textId="22AF7007" w:rsidR="001174FE" w:rsidRDefault="001174FE" w:rsidP="007B2450">
    <w:pPr>
      <w:pStyle w:val="Header"/>
      <w:jc w:val="center"/>
      <w:rPr>
        <w:b/>
      </w:rPr>
    </w:pPr>
    <w:r w:rsidRPr="008F59E0">
      <w:rPr>
        <w:b/>
      </w:rPr>
      <w:t>HARROW COUNCIL</w:t>
    </w:r>
    <w:r>
      <w:rPr>
        <w:b/>
      </w:rPr>
      <w:br/>
      <w:t>202</w:t>
    </w:r>
    <w:r w:rsidR="00CD3A11">
      <w:rPr>
        <w:b/>
      </w:rPr>
      <w:t>3</w:t>
    </w:r>
    <w:r>
      <w:rPr>
        <w:b/>
      </w:rPr>
      <w:t>/2</w:t>
    </w:r>
    <w:r w:rsidR="00CD3A11">
      <w:rPr>
        <w:b/>
      </w:rPr>
      <w:t>4</w:t>
    </w:r>
    <w:r w:rsidR="007B2450">
      <w:rPr>
        <w:b/>
      </w:rPr>
      <w:t xml:space="preserve"> </w:t>
    </w:r>
    <w:r>
      <w:rPr>
        <w:b/>
      </w:rPr>
      <w:t xml:space="preserve">INTERNAL AUDIT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34F"/>
    <w:multiLevelType w:val="hybridMultilevel"/>
    <w:tmpl w:val="235A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7FB"/>
    <w:multiLevelType w:val="hybridMultilevel"/>
    <w:tmpl w:val="E8CE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CCE"/>
    <w:multiLevelType w:val="hybridMultilevel"/>
    <w:tmpl w:val="320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50A0"/>
    <w:multiLevelType w:val="hybridMultilevel"/>
    <w:tmpl w:val="88A8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09C6"/>
    <w:multiLevelType w:val="hybridMultilevel"/>
    <w:tmpl w:val="BC4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2896"/>
    <w:multiLevelType w:val="hybridMultilevel"/>
    <w:tmpl w:val="6E121E58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47DB"/>
    <w:multiLevelType w:val="hybridMultilevel"/>
    <w:tmpl w:val="B274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5954">
    <w:abstractNumId w:val="4"/>
  </w:num>
  <w:num w:numId="2" w16cid:durableId="1341395417">
    <w:abstractNumId w:val="1"/>
  </w:num>
  <w:num w:numId="3" w16cid:durableId="434524611">
    <w:abstractNumId w:val="3"/>
  </w:num>
  <w:num w:numId="4" w16cid:durableId="1799453212">
    <w:abstractNumId w:val="5"/>
  </w:num>
  <w:num w:numId="5" w16cid:durableId="1959292411">
    <w:abstractNumId w:val="0"/>
  </w:num>
  <w:num w:numId="6" w16cid:durableId="436605500">
    <w:abstractNumId w:val="2"/>
  </w:num>
  <w:num w:numId="7" w16cid:durableId="742488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D8"/>
    <w:rsid w:val="00000DDA"/>
    <w:rsid w:val="00003D8B"/>
    <w:rsid w:val="00013629"/>
    <w:rsid w:val="000268E5"/>
    <w:rsid w:val="000569F5"/>
    <w:rsid w:val="00057FB3"/>
    <w:rsid w:val="00061A9B"/>
    <w:rsid w:val="00062193"/>
    <w:rsid w:val="000839F3"/>
    <w:rsid w:val="000905F9"/>
    <w:rsid w:val="000A6BB5"/>
    <w:rsid w:val="000A7DD3"/>
    <w:rsid w:val="000B1093"/>
    <w:rsid w:val="000B5941"/>
    <w:rsid w:val="000D60C8"/>
    <w:rsid w:val="000E7BB6"/>
    <w:rsid w:val="000F227F"/>
    <w:rsid w:val="000F53F1"/>
    <w:rsid w:val="000F5E76"/>
    <w:rsid w:val="000F6A12"/>
    <w:rsid w:val="00100110"/>
    <w:rsid w:val="001033BD"/>
    <w:rsid w:val="0010705C"/>
    <w:rsid w:val="001070D6"/>
    <w:rsid w:val="0011093C"/>
    <w:rsid w:val="001139E0"/>
    <w:rsid w:val="00114598"/>
    <w:rsid w:val="0011699C"/>
    <w:rsid w:val="001174FE"/>
    <w:rsid w:val="00131517"/>
    <w:rsid w:val="00140E95"/>
    <w:rsid w:val="001515C9"/>
    <w:rsid w:val="0015176F"/>
    <w:rsid w:val="00154DA5"/>
    <w:rsid w:val="0015507F"/>
    <w:rsid w:val="00161FE5"/>
    <w:rsid w:val="00163272"/>
    <w:rsid w:val="001805F9"/>
    <w:rsid w:val="001821ED"/>
    <w:rsid w:val="00190642"/>
    <w:rsid w:val="001953C6"/>
    <w:rsid w:val="0019584A"/>
    <w:rsid w:val="00197EE6"/>
    <w:rsid w:val="00197FC0"/>
    <w:rsid w:val="001A3A61"/>
    <w:rsid w:val="001A68D0"/>
    <w:rsid w:val="001B5663"/>
    <w:rsid w:val="001B7FE0"/>
    <w:rsid w:val="001C6155"/>
    <w:rsid w:val="001D14BE"/>
    <w:rsid w:val="001E68C2"/>
    <w:rsid w:val="001F2E9B"/>
    <w:rsid w:val="00202332"/>
    <w:rsid w:val="0021103F"/>
    <w:rsid w:val="00216F9E"/>
    <w:rsid w:val="0022568E"/>
    <w:rsid w:val="0023525F"/>
    <w:rsid w:val="002433B9"/>
    <w:rsid w:val="002571D4"/>
    <w:rsid w:val="00257BAB"/>
    <w:rsid w:val="00274038"/>
    <w:rsid w:val="00294407"/>
    <w:rsid w:val="00296CC7"/>
    <w:rsid w:val="002A6255"/>
    <w:rsid w:val="002B0CD0"/>
    <w:rsid w:val="002B11E5"/>
    <w:rsid w:val="002B17B3"/>
    <w:rsid w:val="002B1E34"/>
    <w:rsid w:val="002B47B3"/>
    <w:rsid w:val="002C025C"/>
    <w:rsid w:val="002D0AD3"/>
    <w:rsid w:val="002D3398"/>
    <w:rsid w:val="002D49C1"/>
    <w:rsid w:val="002E1A10"/>
    <w:rsid w:val="002F0197"/>
    <w:rsid w:val="002F23A5"/>
    <w:rsid w:val="00302911"/>
    <w:rsid w:val="00305B17"/>
    <w:rsid w:val="0030707C"/>
    <w:rsid w:val="00316FB6"/>
    <w:rsid w:val="0034107A"/>
    <w:rsid w:val="0034457B"/>
    <w:rsid w:val="00346F57"/>
    <w:rsid w:val="00353C19"/>
    <w:rsid w:val="0036142D"/>
    <w:rsid w:val="00367AEF"/>
    <w:rsid w:val="0038042D"/>
    <w:rsid w:val="003837A1"/>
    <w:rsid w:val="00385792"/>
    <w:rsid w:val="003857A1"/>
    <w:rsid w:val="00390193"/>
    <w:rsid w:val="0039216D"/>
    <w:rsid w:val="00392D3A"/>
    <w:rsid w:val="003950C1"/>
    <w:rsid w:val="00397D88"/>
    <w:rsid w:val="003A7175"/>
    <w:rsid w:val="003B38B3"/>
    <w:rsid w:val="003B59E7"/>
    <w:rsid w:val="003C5973"/>
    <w:rsid w:val="003D7DFF"/>
    <w:rsid w:val="003E1878"/>
    <w:rsid w:val="003F46A5"/>
    <w:rsid w:val="00401186"/>
    <w:rsid w:val="00401599"/>
    <w:rsid w:val="00403260"/>
    <w:rsid w:val="00413F7A"/>
    <w:rsid w:val="00422BE3"/>
    <w:rsid w:val="00431402"/>
    <w:rsid w:val="004330BF"/>
    <w:rsid w:val="00442EA4"/>
    <w:rsid w:val="004559FD"/>
    <w:rsid w:val="00457220"/>
    <w:rsid w:val="0046342D"/>
    <w:rsid w:val="00466490"/>
    <w:rsid w:val="00466987"/>
    <w:rsid w:val="0047338F"/>
    <w:rsid w:val="00474AE3"/>
    <w:rsid w:val="00474C2C"/>
    <w:rsid w:val="004862E8"/>
    <w:rsid w:val="004A086B"/>
    <w:rsid w:val="004A3680"/>
    <w:rsid w:val="004A4E5D"/>
    <w:rsid w:val="004A4F72"/>
    <w:rsid w:val="004A6D8F"/>
    <w:rsid w:val="004A723A"/>
    <w:rsid w:val="004B2C8F"/>
    <w:rsid w:val="004C0014"/>
    <w:rsid w:val="004D0B03"/>
    <w:rsid w:val="004E0152"/>
    <w:rsid w:val="004E06C3"/>
    <w:rsid w:val="004E44AB"/>
    <w:rsid w:val="004F1FA2"/>
    <w:rsid w:val="004F3F46"/>
    <w:rsid w:val="005034C4"/>
    <w:rsid w:val="00505B8D"/>
    <w:rsid w:val="005072FC"/>
    <w:rsid w:val="00514775"/>
    <w:rsid w:val="00530F37"/>
    <w:rsid w:val="00531256"/>
    <w:rsid w:val="0053179A"/>
    <w:rsid w:val="00543615"/>
    <w:rsid w:val="00544F2D"/>
    <w:rsid w:val="005458AF"/>
    <w:rsid w:val="005508C9"/>
    <w:rsid w:val="005579FA"/>
    <w:rsid w:val="005A0249"/>
    <w:rsid w:val="005A3E19"/>
    <w:rsid w:val="005B1B0A"/>
    <w:rsid w:val="005B1D1F"/>
    <w:rsid w:val="005B32DC"/>
    <w:rsid w:val="005B5410"/>
    <w:rsid w:val="005B6FC7"/>
    <w:rsid w:val="005D7883"/>
    <w:rsid w:val="005E0520"/>
    <w:rsid w:val="005E6E3A"/>
    <w:rsid w:val="005E74AC"/>
    <w:rsid w:val="006060E2"/>
    <w:rsid w:val="006125F9"/>
    <w:rsid w:val="00613248"/>
    <w:rsid w:val="006204C4"/>
    <w:rsid w:val="00622652"/>
    <w:rsid w:val="0062728E"/>
    <w:rsid w:val="00631B22"/>
    <w:rsid w:val="00635578"/>
    <w:rsid w:val="00641848"/>
    <w:rsid w:val="00647F49"/>
    <w:rsid w:val="00650B61"/>
    <w:rsid w:val="006522EC"/>
    <w:rsid w:val="00653337"/>
    <w:rsid w:val="006554D9"/>
    <w:rsid w:val="006832EC"/>
    <w:rsid w:val="00687ECF"/>
    <w:rsid w:val="00690126"/>
    <w:rsid w:val="00693025"/>
    <w:rsid w:val="0069525B"/>
    <w:rsid w:val="006A09E7"/>
    <w:rsid w:val="006A3778"/>
    <w:rsid w:val="006B0614"/>
    <w:rsid w:val="006B2E71"/>
    <w:rsid w:val="006B5CC4"/>
    <w:rsid w:val="006C3F89"/>
    <w:rsid w:val="006C6E46"/>
    <w:rsid w:val="006D24D8"/>
    <w:rsid w:val="006D416E"/>
    <w:rsid w:val="006E2975"/>
    <w:rsid w:val="006E46D4"/>
    <w:rsid w:val="006F7071"/>
    <w:rsid w:val="007007E1"/>
    <w:rsid w:val="0070760A"/>
    <w:rsid w:val="00707802"/>
    <w:rsid w:val="0071372F"/>
    <w:rsid w:val="00713A33"/>
    <w:rsid w:val="007236D5"/>
    <w:rsid w:val="007355BD"/>
    <w:rsid w:val="0074351E"/>
    <w:rsid w:val="007540D7"/>
    <w:rsid w:val="007553AF"/>
    <w:rsid w:val="00756493"/>
    <w:rsid w:val="007648BD"/>
    <w:rsid w:val="00765B23"/>
    <w:rsid w:val="007714B2"/>
    <w:rsid w:val="007877F7"/>
    <w:rsid w:val="00787919"/>
    <w:rsid w:val="007932AB"/>
    <w:rsid w:val="007959FD"/>
    <w:rsid w:val="007A50FF"/>
    <w:rsid w:val="007A570B"/>
    <w:rsid w:val="007B0EC4"/>
    <w:rsid w:val="007B2450"/>
    <w:rsid w:val="007B7BAC"/>
    <w:rsid w:val="007C799A"/>
    <w:rsid w:val="007F1C89"/>
    <w:rsid w:val="007F4B40"/>
    <w:rsid w:val="007F6F5C"/>
    <w:rsid w:val="007F791B"/>
    <w:rsid w:val="00800CC0"/>
    <w:rsid w:val="00801E47"/>
    <w:rsid w:val="008053E4"/>
    <w:rsid w:val="008064BB"/>
    <w:rsid w:val="00807223"/>
    <w:rsid w:val="00812871"/>
    <w:rsid w:val="008130F9"/>
    <w:rsid w:val="00815DD1"/>
    <w:rsid w:val="0082281A"/>
    <w:rsid w:val="00824644"/>
    <w:rsid w:val="00825A03"/>
    <w:rsid w:val="008263BA"/>
    <w:rsid w:val="0082703E"/>
    <w:rsid w:val="0082714A"/>
    <w:rsid w:val="008419A7"/>
    <w:rsid w:val="0085119C"/>
    <w:rsid w:val="008636DB"/>
    <w:rsid w:val="00866248"/>
    <w:rsid w:val="008673D4"/>
    <w:rsid w:val="0087561C"/>
    <w:rsid w:val="00880723"/>
    <w:rsid w:val="00881938"/>
    <w:rsid w:val="00891274"/>
    <w:rsid w:val="00896E30"/>
    <w:rsid w:val="008B243C"/>
    <w:rsid w:val="008B3EEB"/>
    <w:rsid w:val="008B45B4"/>
    <w:rsid w:val="008C7644"/>
    <w:rsid w:val="008E32DD"/>
    <w:rsid w:val="008E53E6"/>
    <w:rsid w:val="008F2A32"/>
    <w:rsid w:val="00903211"/>
    <w:rsid w:val="0091365F"/>
    <w:rsid w:val="0091377B"/>
    <w:rsid w:val="00913FFF"/>
    <w:rsid w:val="00926C8E"/>
    <w:rsid w:val="00927C93"/>
    <w:rsid w:val="0094228E"/>
    <w:rsid w:val="0095439B"/>
    <w:rsid w:val="00957F66"/>
    <w:rsid w:val="009644E8"/>
    <w:rsid w:val="009714FC"/>
    <w:rsid w:val="009721C4"/>
    <w:rsid w:val="00972EDB"/>
    <w:rsid w:val="00974441"/>
    <w:rsid w:val="00991453"/>
    <w:rsid w:val="0099196A"/>
    <w:rsid w:val="009950BB"/>
    <w:rsid w:val="00995A24"/>
    <w:rsid w:val="009A20C0"/>
    <w:rsid w:val="009A6D55"/>
    <w:rsid w:val="009A6F3D"/>
    <w:rsid w:val="009A7624"/>
    <w:rsid w:val="009C3CEA"/>
    <w:rsid w:val="009C6AA0"/>
    <w:rsid w:val="009C704D"/>
    <w:rsid w:val="009D128D"/>
    <w:rsid w:val="009E10E0"/>
    <w:rsid w:val="009E1EFC"/>
    <w:rsid w:val="009F4986"/>
    <w:rsid w:val="009F5AF9"/>
    <w:rsid w:val="00A01CB7"/>
    <w:rsid w:val="00A047E0"/>
    <w:rsid w:val="00A11037"/>
    <w:rsid w:val="00A11A8B"/>
    <w:rsid w:val="00A14947"/>
    <w:rsid w:val="00A17F26"/>
    <w:rsid w:val="00A2123E"/>
    <w:rsid w:val="00A21901"/>
    <w:rsid w:val="00A21B01"/>
    <w:rsid w:val="00A2575E"/>
    <w:rsid w:val="00A41009"/>
    <w:rsid w:val="00A43D1D"/>
    <w:rsid w:val="00A46ACD"/>
    <w:rsid w:val="00A5188F"/>
    <w:rsid w:val="00A54E1A"/>
    <w:rsid w:val="00A67762"/>
    <w:rsid w:val="00A84019"/>
    <w:rsid w:val="00A90695"/>
    <w:rsid w:val="00A91F2C"/>
    <w:rsid w:val="00AA22F3"/>
    <w:rsid w:val="00AA2392"/>
    <w:rsid w:val="00AA61A4"/>
    <w:rsid w:val="00AA70A7"/>
    <w:rsid w:val="00AC3094"/>
    <w:rsid w:val="00AC51B1"/>
    <w:rsid w:val="00AC5CE8"/>
    <w:rsid w:val="00AE2CF6"/>
    <w:rsid w:val="00AE4C21"/>
    <w:rsid w:val="00AE7810"/>
    <w:rsid w:val="00B01CD8"/>
    <w:rsid w:val="00B01E80"/>
    <w:rsid w:val="00B02A46"/>
    <w:rsid w:val="00B15BA1"/>
    <w:rsid w:val="00B274F8"/>
    <w:rsid w:val="00B31571"/>
    <w:rsid w:val="00B32784"/>
    <w:rsid w:val="00B32A7C"/>
    <w:rsid w:val="00B365E2"/>
    <w:rsid w:val="00B37698"/>
    <w:rsid w:val="00B40F1D"/>
    <w:rsid w:val="00B452D1"/>
    <w:rsid w:val="00B4773E"/>
    <w:rsid w:val="00B50A51"/>
    <w:rsid w:val="00B554AC"/>
    <w:rsid w:val="00B6210B"/>
    <w:rsid w:val="00B62777"/>
    <w:rsid w:val="00B65962"/>
    <w:rsid w:val="00B67CD0"/>
    <w:rsid w:val="00B70016"/>
    <w:rsid w:val="00B75486"/>
    <w:rsid w:val="00B97D05"/>
    <w:rsid w:val="00BA1AD2"/>
    <w:rsid w:val="00BA2333"/>
    <w:rsid w:val="00BA66E6"/>
    <w:rsid w:val="00BA73B2"/>
    <w:rsid w:val="00BB1D3D"/>
    <w:rsid w:val="00BC2DCF"/>
    <w:rsid w:val="00BC5654"/>
    <w:rsid w:val="00BC6C79"/>
    <w:rsid w:val="00BD369E"/>
    <w:rsid w:val="00BD4748"/>
    <w:rsid w:val="00BE0C0C"/>
    <w:rsid w:val="00BE5C83"/>
    <w:rsid w:val="00BE6ED6"/>
    <w:rsid w:val="00BF1E47"/>
    <w:rsid w:val="00BF31CE"/>
    <w:rsid w:val="00C00041"/>
    <w:rsid w:val="00C06E63"/>
    <w:rsid w:val="00C07858"/>
    <w:rsid w:val="00C11172"/>
    <w:rsid w:val="00C31217"/>
    <w:rsid w:val="00C35A34"/>
    <w:rsid w:val="00C52F94"/>
    <w:rsid w:val="00C77CAB"/>
    <w:rsid w:val="00C82F99"/>
    <w:rsid w:val="00C83BF0"/>
    <w:rsid w:val="00C855C7"/>
    <w:rsid w:val="00C95698"/>
    <w:rsid w:val="00CA0089"/>
    <w:rsid w:val="00CA0F3A"/>
    <w:rsid w:val="00CA4180"/>
    <w:rsid w:val="00CA4662"/>
    <w:rsid w:val="00CB39F4"/>
    <w:rsid w:val="00CB4B69"/>
    <w:rsid w:val="00CC1AB3"/>
    <w:rsid w:val="00CC75A1"/>
    <w:rsid w:val="00CD3A11"/>
    <w:rsid w:val="00CD57E5"/>
    <w:rsid w:val="00CD6CC7"/>
    <w:rsid w:val="00CD6E46"/>
    <w:rsid w:val="00CF314B"/>
    <w:rsid w:val="00CF508E"/>
    <w:rsid w:val="00D00B67"/>
    <w:rsid w:val="00D05BB0"/>
    <w:rsid w:val="00D05C89"/>
    <w:rsid w:val="00D17DC5"/>
    <w:rsid w:val="00D35C63"/>
    <w:rsid w:val="00D42F0A"/>
    <w:rsid w:val="00D47B5C"/>
    <w:rsid w:val="00D50927"/>
    <w:rsid w:val="00D6128E"/>
    <w:rsid w:val="00D6446A"/>
    <w:rsid w:val="00D667CB"/>
    <w:rsid w:val="00D705B4"/>
    <w:rsid w:val="00D727C7"/>
    <w:rsid w:val="00D75503"/>
    <w:rsid w:val="00D766B7"/>
    <w:rsid w:val="00D87B2F"/>
    <w:rsid w:val="00D97606"/>
    <w:rsid w:val="00DA423C"/>
    <w:rsid w:val="00DA4E0D"/>
    <w:rsid w:val="00DC0C59"/>
    <w:rsid w:val="00DC4D15"/>
    <w:rsid w:val="00DC525F"/>
    <w:rsid w:val="00DD1BF6"/>
    <w:rsid w:val="00DE03AE"/>
    <w:rsid w:val="00DE2771"/>
    <w:rsid w:val="00DF08D9"/>
    <w:rsid w:val="00DF346D"/>
    <w:rsid w:val="00DF3DD5"/>
    <w:rsid w:val="00DF5F22"/>
    <w:rsid w:val="00E051AF"/>
    <w:rsid w:val="00E12A47"/>
    <w:rsid w:val="00E1499F"/>
    <w:rsid w:val="00E23A91"/>
    <w:rsid w:val="00E250EF"/>
    <w:rsid w:val="00E253B1"/>
    <w:rsid w:val="00E267AD"/>
    <w:rsid w:val="00E26989"/>
    <w:rsid w:val="00E31880"/>
    <w:rsid w:val="00E3675F"/>
    <w:rsid w:val="00E40D1A"/>
    <w:rsid w:val="00E41E4F"/>
    <w:rsid w:val="00E423A9"/>
    <w:rsid w:val="00E45F42"/>
    <w:rsid w:val="00E5337C"/>
    <w:rsid w:val="00E600A7"/>
    <w:rsid w:val="00E67112"/>
    <w:rsid w:val="00E71CD4"/>
    <w:rsid w:val="00E73ABA"/>
    <w:rsid w:val="00E73CDA"/>
    <w:rsid w:val="00E77974"/>
    <w:rsid w:val="00E822F1"/>
    <w:rsid w:val="00E859B0"/>
    <w:rsid w:val="00E85CCD"/>
    <w:rsid w:val="00E97CB4"/>
    <w:rsid w:val="00EA6503"/>
    <w:rsid w:val="00EB048D"/>
    <w:rsid w:val="00ED00A5"/>
    <w:rsid w:val="00EE162F"/>
    <w:rsid w:val="00EF25A7"/>
    <w:rsid w:val="00EF735D"/>
    <w:rsid w:val="00EF74A8"/>
    <w:rsid w:val="00F117BE"/>
    <w:rsid w:val="00F17C6F"/>
    <w:rsid w:val="00F21F16"/>
    <w:rsid w:val="00F34C65"/>
    <w:rsid w:val="00F358E3"/>
    <w:rsid w:val="00F41DA6"/>
    <w:rsid w:val="00F45F2F"/>
    <w:rsid w:val="00F46C31"/>
    <w:rsid w:val="00F52134"/>
    <w:rsid w:val="00F721F4"/>
    <w:rsid w:val="00F747EC"/>
    <w:rsid w:val="00F75BA7"/>
    <w:rsid w:val="00F82757"/>
    <w:rsid w:val="00F92A1C"/>
    <w:rsid w:val="00FA148A"/>
    <w:rsid w:val="00FA6B86"/>
    <w:rsid w:val="00FB2926"/>
    <w:rsid w:val="00FB49C3"/>
    <w:rsid w:val="00FC3A07"/>
    <w:rsid w:val="00FD67EF"/>
    <w:rsid w:val="00FD735E"/>
    <w:rsid w:val="00FE0DFB"/>
    <w:rsid w:val="00FE62CA"/>
    <w:rsid w:val="00FF19C3"/>
    <w:rsid w:val="00FF1E4D"/>
    <w:rsid w:val="00FF32B6"/>
    <w:rsid w:val="05869CB3"/>
    <w:rsid w:val="3DCA352D"/>
    <w:rsid w:val="4938B666"/>
    <w:rsid w:val="62B91A60"/>
    <w:rsid w:val="72BFD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ADFF0"/>
  <w15:docId w15:val="{AADDD59F-5A39-4365-8317-1412D05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8C2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23525F"/>
    <w:rPr>
      <w:rFonts w:ascii="Arial" w:hAnsi="Arial" w:cs="Arial"/>
      <w:lang w:eastAsia="en-US"/>
    </w:rPr>
  </w:style>
  <w:style w:type="paragraph" w:styleId="FootnoteText">
    <w:name w:val="footnote text"/>
    <w:basedOn w:val="Normal"/>
    <w:link w:val="FootnoteTextChar"/>
    <w:semiHidden/>
    <w:rsid w:val="0023525F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3525F"/>
    <w:rPr>
      <w:rFonts w:ascii="Arial" w:eastAsia="Times New Roman" w:hAnsi="Arial" w:cs="Arial"/>
      <w:lang w:eastAsia="en-US"/>
    </w:rPr>
  </w:style>
  <w:style w:type="character" w:styleId="FootnoteReference">
    <w:name w:val="footnote reference"/>
    <w:semiHidden/>
    <w:rsid w:val="0023525F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5F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5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5F"/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4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2784"/>
    <w:pPr>
      <w:ind w:left="720"/>
      <w:contextualSpacing/>
    </w:pPr>
  </w:style>
  <w:style w:type="paragraph" w:customStyle="1" w:styleId="Default">
    <w:name w:val="Default"/>
    <w:rsid w:val="00B32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F94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94"/>
    <w:rPr>
      <w:rFonts w:ascii="Arial" w:eastAsia="Times New Roman" w:hAnsi="Arial" w:cs="Arial"/>
      <w:b/>
      <w:bCs/>
      <w:lang w:eastAsia="en-US"/>
    </w:rPr>
  </w:style>
  <w:style w:type="character" w:customStyle="1" w:styleId="ui-provider">
    <w:name w:val="ui-provider"/>
    <w:basedOn w:val="DefaultParagraphFont"/>
    <w:rsid w:val="0054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0B5EBE6FBA4386267E44C1915B3E" ma:contentTypeVersion="5" ma:contentTypeDescription="Create a new document." ma:contentTypeScope="" ma:versionID="86e0e7a42816cea3544ccf391d9ae4ec">
  <xsd:schema xmlns:xsd="http://www.w3.org/2001/XMLSchema" xmlns:xs="http://www.w3.org/2001/XMLSchema" xmlns:p="http://schemas.microsoft.com/office/2006/metadata/properties" xmlns:ns2="f97bcfd9-eee9-4b50-8430-bb265ff25d0f" xmlns:ns3="339e2096-1cad-492d-804d-9abc973e09ce" targetNamespace="http://schemas.microsoft.com/office/2006/metadata/properties" ma:root="true" ma:fieldsID="c834ac0fc0e81cdae7d2cb53fb2453fd" ns2:_="" ns3:_="">
    <xsd:import namespace="f97bcfd9-eee9-4b50-8430-bb265ff25d0f"/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cfd9-eee9-4b50-8430-bb265ff25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542F-AA71-4EAA-A986-316740A5A40E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52242-ECFF-4268-B9BC-733B9A6B16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7bcfd9-eee9-4b50-8430-bb265ff25d0f"/>
    <ds:schemaRef ds:uri="339e2096-1cad-492d-804d-9abc973e09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DD7C9-44C1-4217-AF00-C75817218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7BEE0-43D2-41BF-9BD9-6458287DCC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Copy raft Internal Audit Annual Plan 2023-24</vt:lpstr>
    </vt:vector>
  </TitlesOfParts>
  <Company>London Borough of Harrow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Copy raft Internal Audit Annual Plan 2023-24</dc:title>
  <dc:subject/>
  <dc:creator>Susan Dixson</dc:creator>
  <cp:keywords/>
  <dc:description/>
  <cp:lastModifiedBy>Arun Birah</cp:lastModifiedBy>
  <cp:revision>2</cp:revision>
  <cp:lastPrinted>2019-04-01T08:39:00Z</cp:lastPrinted>
  <dcterms:created xsi:type="dcterms:W3CDTF">2023-09-07T12:34:00Z</dcterms:created>
  <dcterms:modified xsi:type="dcterms:W3CDTF">2023-09-07T12:34:00Z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0x010100E98D0B5EBE6FBA4386267E44C1915B3E</vt:lpwstr>
  </property>
</Properties>
</file>